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F2B" w:rsidRPr="00FD0F2B" w:rsidRDefault="00A23E50" w:rsidP="00FD0F2B">
      <w:pPr>
        <w:pStyle w:val="ConsPlusNormal"/>
        <w:jc w:val="right"/>
        <w:rPr>
          <w:rFonts w:ascii="Times New Roman" w:hAnsi="Times New Roman" w:cs="Times New Roman"/>
          <w:sz w:val="28"/>
          <w:szCs w:val="28"/>
        </w:rPr>
      </w:pPr>
      <w:r>
        <w:rPr>
          <w:rFonts w:ascii="Times New Roman" w:hAnsi="Times New Roman" w:cs="Times New Roman"/>
          <w:sz w:val="28"/>
          <w:szCs w:val="28"/>
        </w:rPr>
        <w:t>Проект</w:t>
      </w:r>
    </w:p>
    <w:p w:rsidR="00FD0F2B" w:rsidRPr="00FD0F2B" w:rsidRDefault="00FD0F2B" w:rsidP="00FD0F2B">
      <w:pPr>
        <w:pStyle w:val="ConsPlusNormal"/>
        <w:jc w:val="right"/>
        <w:rPr>
          <w:rFonts w:ascii="Times New Roman" w:hAnsi="Times New Roman" w:cs="Times New Roman"/>
          <w:sz w:val="28"/>
          <w:szCs w:val="28"/>
        </w:rPr>
      </w:pPr>
    </w:p>
    <w:p w:rsidR="00FD0F2B" w:rsidRPr="00FD0F2B" w:rsidRDefault="00FD0F2B" w:rsidP="00FD0F2B">
      <w:pPr>
        <w:pStyle w:val="ConsPlusTitle"/>
        <w:jc w:val="center"/>
        <w:rPr>
          <w:rFonts w:ascii="Times New Roman" w:hAnsi="Times New Roman" w:cs="Times New Roman"/>
          <w:sz w:val="28"/>
          <w:szCs w:val="28"/>
        </w:rPr>
      </w:pPr>
      <w:bookmarkStart w:id="0" w:name="P395"/>
      <w:bookmarkEnd w:id="0"/>
      <w:r w:rsidRPr="00FD0F2B">
        <w:rPr>
          <w:rFonts w:ascii="Times New Roman" w:hAnsi="Times New Roman" w:cs="Times New Roman"/>
          <w:sz w:val="28"/>
          <w:szCs w:val="28"/>
        </w:rPr>
        <w:t>МЕТОДИКА</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РАСПРЕДЕЛЕНИЯ ДОТАЦИЙ НА ВЫРАВНИВАНИЕ БЮДЖЕТНОЙ</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ОБЕСПЕЧЕННОСТИ МУНИЦИПАЛЬНЫХ РАЙОНОВ (ГОРОДСКИХ ОКРУГОВ)</w:t>
      </w:r>
    </w:p>
    <w:p w:rsidR="00FD0F2B" w:rsidRPr="00FD0F2B" w:rsidRDefault="00FD0F2B" w:rsidP="00FD0F2B">
      <w:pPr>
        <w:spacing w:after="1"/>
        <w:rPr>
          <w:sz w:val="28"/>
          <w:szCs w:val="28"/>
        </w:rPr>
      </w:pPr>
    </w:p>
    <w:p w:rsidR="00FD0F2B" w:rsidRPr="00FD0F2B" w:rsidRDefault="00FD0F2B" w:rsidP="00FD0F2B">
      <w:pPr>
        <w:pStyle w:val="ConsPlusTitle"/>
        <w:jc w:val="center"/>
        <w:outlineLvl w:val="1"/>
        <w:rPr>
          <w:rFonts w:ascii="Times New Roman" w:hAnsi="Times New Roman" w:cs="Times New Roman"/>
          <w:sz w:val="28"/>
          <w:szCs w:val="28"/>
        </w:rPr>
      </w:pPr>
      <w:r w:rsidRPr="00FD0F2B">
        <w:rPr>
          <w:rFonts w:ascii="Times New Roman" w:hAnsi="Times New Roman" w:cs="Times New Roman"/>
          <w:sz w:val="28"/>
          <w:szCs w:val="28"/>
        </w:rPr>
        <w:t>1. Порядок распределения дотаций на выравнивание бюджетной</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обеспеченности муниципальных районов (городских округов)</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и порядок определения критерия выравнивания</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расчетной бюджетной обеспеченности муниципальных районов</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(городских округов)</w:t>
      </w:r>
    </w:p>
    <w:p w:rsidR="00FD0F2B" w:rsidRPr="00FD0F2B" w:rsidRDefault="00FD0F2B" w:rsidP="00FD0F2B">
      <w:pPr>
        <w:pStyle w:val="ConsPlusNormal"/>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Дотации на выравнивание бюджетной обеспеченности муниципальных районов (городских округов) распределяются между муниципальными районами (городскими округами), уровень расчетной бюджетной обеспеченности которых не превышает уровень, определяемый в качестве критерия выравнивания расчетной бюджетной обеспеченности муниципальных районов (городских округов).</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Расчетный объем дотации на выравнивание бюджетной обеспеченности муниципальному району (городскому округу) определяется по следующей формуле:</w:t>
      </w:r>
      <w:bookmarkStart w:id="1" w:name="_GoBack"/>
      <w:bookmarkEnd w:id="1"/>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noProof/>
          <w:position w:val="-45"/>
          <w:sz w:val="28"/>
          <w:szCs w:val="28"/>
        </w:rPr>
        <w:drawing>
          <wp:inline distT="0" distB="0" distL="0" distR="0">
            <wp:extent cx="3156585" cy="723265"/>
            <wp:effectExtent l="0" t="0" r="5715" b="635"/>
            <wp:docPr id="11" name="Рисунок 11" descr="base_23776_123671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76_123671_32774"/>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56585" cy="723265"/>
                    </a:xfrm>
                    <a:prstGeom prst="rect">
                      <a:avLst/>
                    </a:prstGeom>
                    <a:noFill/>
                    <a:ln>
                      <a:noFill/>
                    </a:ln>
                  </pic:spPr>
                </pic:pic>
              </a:graphicData>
            </a:graphic>
          </wp:inline>
        </w:drawing>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расчетный объем дотации на выравнивание бюджетной обеспеченности муниципальных районов (городских округов)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НП</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р - критерий выравнивания расчетной бюджетной обеспеченности муниципальных районов (городских округов);</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БО</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уровень расчетной бюджетной обеспеченности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ИБР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индекс бюджетных расходов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N</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численность постоянного населения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данным территориального органа Федеральной службы государственной статистики по Ивановской области.</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Критерий выравнивания расчетной бюджетной обеспеченности </w:t>
      </w:r>
      <w:r w:rsidRPr="00FD0F2B">
        <w:rPr>
          <w:rFonts w:ascii="Times New Roman" w:hAnsi="Times New Roman" w:cs="Times New Roman"/>
          <w:sz w:val="28"/>
          <w:szCs w:val="28"/>
        </w:rPr>
        <w:lastRenderedPageBreak/>
        <w:t>муниципальных районов (городских округов) определяется соотношением между средним уровнем расчетной бюджетной обеспеченности пяти наиболее обеспеченных и средним уровнем расчетной бюджетной обеспеченности пяти наименее обеспеченных муниципальных районов (городских округов), величина которого после выравнивания бюджетной обеспеченности не должна превышать 1,2 раза.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Абзацы одиннадцатый - четырнадцатый утратили силу. </w:t>
      </w:r>
    </w:p>
    <w:p w:rsidR="00FD0F2B" w:rsidRPr="00FD0F2B" w:rsidRDefault="00FD0F2B" w:rsidP="00FD0F2B">
      <w:pPr>
        <w:pStyle w:val="ConsPlusNormal"/>
        <w:rPr>
          <w:rFonts w:ascii="Times New Roman" w:hAnsi="Times New Roman" w:cs="Times New Roman"/>
          <w:sz w:val="28"/>
          <w:szCs w:val="28"/>
        </w:rPr>
      </w:pPr>
    </w:p>
    <w:p w:rsidR="00FD0F2B" w:rsidRPr="00FD0F2B" w:rsidRDefault="00FD0F2B" w:rsidP="00FD0F2B">
      <w:pPr>
        <w:pStyle w:val="ConsPlusTitle"/>
        <w:jc w:val="center"/>
        <w:outlineLvl w:val="1"/>
        <w:rPr>
          <w:rFonts w:ascii="Times New Roman" w:hAnsi="Times New Roman" w:cs="Times New Roman"/>
          <w:sz w:val="28"/>
          <w:szCs w:val="28"/>
        </w:rPr>
      </w:pPr>
      <w:r w:rsidRPr="00FD0F2B">
        <w:rPr>
          <w:rFonts w:ascii="Times New Roman" w:hAnsi="Times New Roman" w:cs="Times New Roman"/>
          <w:sz w:val="28"/>
          <w:szCs w:val="28"/>
        </w:rPr>
        <w:t>2. Определение уровня расчетной бюджетной обеспеченности</w:t>
      </w:r>
    </w:p>
    <w:p w:rsidR="00FD0F2B" w:rsidRPr="00FD0F2B" w:rsidRDefault="00FD0F2B" w:rsidP="00FD0F2B">
      <w:pPr>
        <w:autoSpaceDE w:val="0"/>
        <w:autoSpaceDN w:val="0"/>
        <w:adjustRightInd w:val="0"/>
        <w:jc w:val="center"/>
        <w:outlineLvl w:val="0"/>
        <w:rPr>
          <w:b/>
          <w:bCs/>
          <w:sz w:val="28"/>
          <w:szCs w:val="28"/>
        </w:rPr>
      </w:pPr>
      <w:r w:rsidRPr="00FD0F2B">
        <w:rPr>
          <w:b/>
          <w:sz w:val="28"/>
          <w:szCs w:val="28"/>
        </w:rPr>
        <w:t>муниципального района (городского округа)</w:t>
      </w:r>
      <w:r w:rsidRPr="00FD0F2B">
        <w:rPr>
          <w:b/>
          <w:bCs/>
          <w:sz w:val="28"/>
          <w:szCs w:val="28"/>
        </w:rPr>
        <w:t xml:space="preserve"> до распределения дотаций на выравнивание бюджетной обеспеченности</w:t>
      </w:r>
    </w:p>
    <w:p w:rsidR="00FD0F2B" w:rsidRPr="00FD0F2B" w:rsidRDefault="00FD0F2B" w:rsidP="00FD0F2B">
      <w:pPr>
        <w:autoSpaceDE w:val="0"/>
        <w:autoSpaceDN w:val="0"/>
        <w:adjustRightInd w:val="0"/>
        <w:rPr>
          <w:sz w:val="28"/>
          <w:szCs w:val="28"/>
        </w:rPr>
      </w:pPr>
    </w:p>
    <w:p w:rsidR="00FD0F2B" w:rsidRPr="00FD0F2B" w:rsidRDefault="00FD0F2B" w:rsidP="00FD0F2B">
      <w:pPr>
        <w:autoSpaceDE w:val="0"/>
        <w:autoSpaceDN w:val="0"/>
        <w:adjustRightInd w:val="0"/>
        <w:ind w:firstLine="709"/>
        <w:jc w:val="both"/>
        <w:rPr>
          <w:sz w:val="28"/>
          <w:szCs w:val="28"/>
        </w:rPr>
      </w:pPr>
      <w:r w:rsidRPr="00FD0F2B">
        <w:rPr>
          <w:sz w:val="28"/>
          <w:szCs w:val="28"/>
        </w:rPr>
        <w:t>Уровень расчетной бюджетной обеспеченности муниципального района (городского округа) до распределения дотаций на выравнивание бюджетной обеспеченности рассчитывается по следующей формуле:</w:t>
      </w:r>
    </w:p>
    <w:p w:rsidR="00FD0F2B" w:rsidRPr="00FD0F2B" w:rsidRDefault="00FD0F2B" w:rsidP="00FD0F2B">
      <w:pPr>
        <w:autoSpaceDE w:val="0"/>
        <w:autoSpaceDN w:val="0"/>
        <w:adjustRightInd w:val="0"/>
        <w:ind w:firstLine="709"/>
        <w:jc w:val="both"/>
        <w:rPr>
          <w:sz w:val="28"/>
          <w:szCs w:val="28"/>
        </w:rPr>
      </w:pPr>
    </w:p>
    <w:p w:rsidR="00FD0F2B" w:rsidRPr="00FD0F2B" w:rsidRDefault="00FD0F2B" w:rsidP="00FD0F2B">
      <w:pPr>
        <w:autoSpaceDE w:val="0"/>
        <w:autoSpaceDN w:val="0"/>
        <w:adjustRightInd w:val="0"/>
        <w:ind w:firstLine="709"/>
        <w:jc w:val="both"/>
        <w:rPr>
          <w:sz w:val="28"/>
          <w:szCs w:val="28"/>
          <w:vertAlign w:val="subscript"/>
        </w:rPr>
      </w:pPr>
      <w:r w:rsidRPr="00FD0F2B">
        <w:rPr>
          <w:sz w:val="28"/>
          <w:szCs w:val="28"/>
        </w:rPr>
        <w:t xml:space="preserve">            ИНП</w:t>
      </w:r>
      <w:proofErr w:type="spellStart"/>
      <w:r w:rsidRPr="00FD0F2B">
        <w:rPr>
          <w:sz w:val="28"/>
          <w:szCs w:val="28"/>
          <w:vertAlign w:val="subscript"/>
          <w:lang w:val="en-US"/>
        </w:rPr>
        <w:t>i</w:t>
      </w:r>
      <w:proofErr w:type="spellEnd"/>
    </w:p>
    <w:p w:rsidR="00FD0F2B" w:rsidRPr="00FD0F2B" w:rsidRDefault="00FD0F2B" w:rsidP="00FD0F2B">
      <w:pPr>
        <w:autoSpaceDE w:val="0"/>
        <w:autoSpaceDN w:val="0"/>
        <w:adjustRightInd w:val="0"/>
        <w:ind w:firstLine="709"/>
        <w:jc w:val="both"/>
        <w:rPr>
          <w:sz w:val="28"/>
          <w:szCs w:val="28"/>
        </w:rPr>
      </w:pPr>
      <w:r w:rsidRPr="00FD0F2B">
        <w:rPr>
          <w:sz w:val="28"/>
          <w:szCs w:val="28"/>
        </w:rPr>
        <w:t>БО</w:t>
      </w:r>
      <w:proofErr w:type="spellStart"/>
      <w:proofErr w:type="gramStart"/>
      <w:r w:rsidRPr="00FD0F2B">
        <w:rPr>
          <w:sz w:val="28"/>
          <w:szCs w:val="28"/>
          <w:vertAlign w:val="subscript"/>
          <w:lang w:val="en-US"/>
        </w:rPr>
        <w:t>i</w:t>
      </w:r>
      <w:proofErr w:type="spellEnd"/>
      <w:proofErr w:type="gramEnd"/>
      <w:r w:rsidRPr="00FD0F2B">
        <w:rPr>
          <w:sz w:val="28"/>
          <w:szCs w:val="28"/>
        </w:rPr>
        <w:t xml:space="preserve"> = -------------  , где                                                     (2)</w:t>
      </w:r>
    </w:p>
    <w:p w:rsidR="00FD0F2B" w:rsidRPr="00FD0F2B" w:rsidRDefault="00FD0F2B" w:rsidP="00FD0F2B">
      <w:pPr>
        <w:autoSpaceDE w:val="0"/>
        <w:autoSpaceDN w:val="0"/>
        <w:adjustRightInd w:val="0"/>
        <w:ind w:firstLine="709"/>
        <w:jc w:val="both"/>
        <w:rPr>
          <w:sz w:val="28"/>
          <w:szCs w:val="28"/>
          <w:vertAlign w:val="subscript"/>
        </w:rPr>
      </w:pPr>
      <w:r w:rsidRPr="00FD0F2B">
        <w:rPr>
          <w:sz w:val="28"/>
          <w:szCs w:val="28"/>
        </w:rPr>
        <w:t xml:space="preserve">              ИБР</w:t>
      </w:r>
      <w:proofErr w:type="spellStart"/>
      <w:r w:rsidRPr="00FD0F2B">
        <w:rPr>
          <w:sz w:val="28"/>
          <w:szCs w:val="28"/>
          <w:vertAlign w:val="subscript"/>
          <w:lang w:val="en-US"/>
        </w:rPr>
        <w:t>i</w:t>
      </w:r>
      <w:proofErr w:type="spellEnd"/>
    </w:p>
    <w:p w:rsidR="00FD0F2B" w:rsidRPr="00FD0F2B" w:rsidRDefault="00FD0F2B" w:rsidP="00FD0F2B">
      <w:pPr>
        <w:autoSpaceDE w:val="0"/>
        <w:autoSpaceDN w:val="0"/>
        <w:adjustRightInd w:val="0"/>
        <w:ind w:firstLine="709"/>
        <w:jc w:val="both"/>
        <w:rPr>
          <w:sz w:val="28"/>
          <w:szCs w:val="28"/>
        </w:rPr>
      </w:pPr>
    </w:p>
    <w:p w:rsidR="00FD0F2B" w:rsidRPr="00FD0F2B" w:rsidRDefault="00FD0F2B" w:rsidP="00FD0F2B">
      <w:pPr>
        <w:autoSpaceDE w:val="0"/>
        <w:autoSpaceDN w:val="0"/>
        <w:adjustRightInd w:val="0"/>
        <w:ind w:firstLine="709"/>
        <w:jc w:val="both"/>
        <w:rPr>
          <w:sz w:val="28"/>
          <w:szCs w:val="28"/>
        </w:rPr>
      </w:pPr>
      <w:proofErr w:type="spellStart"/>
      <w:r w:rsidRPr="00FD0F2B">
        <w:rPr>
          <w:sz w:val="28"/>
          <w:szCs w:val="28"/>
        </w:rPr>
        <w:t>БО</w:t>
      </w:r>
      <w:r w:rsidRPr="00FD0F2B">
        <w:rPr>
          <w:sz w:val="28"/>
          <w:szCs w:val="28"/>
          <w:vertAlign w:val="subscript"/>
        </w:rPr>
        <w:t>i</w:t>
      </w:r>
      <w:proofErr w:type="spellEnd"/>
      <w:r w:rsidRPr="00FD0F2B">
        <w:rPr>
          <w:sz w:val="28"/>
          <w:szCs w:val="28"/>
        </w:rPr>
        <w:t xml:space="preserve"> - уровень расчетной бюджетной обеспеченности i-</w:t>
      </w:r>
      <w:proofErr w:type="spellStart"/>
      <w:r w:rsidRPr="00FD0F2B">
        <w:rPr>
          <w:sz w:val="28"/>
          <w:szCs w:val="28"/>
        </w:rPr>
        <w:t>го</w:t>
      </w:r>
      <w:proofErr w:type="spellEnd"/>
      <w:r w:rsidRPr="00FD0F2B">
        <w:rPr>
          <w:sz w:val="28"/>
          <w:szCs w:val="28"/>
        </w:rPr>
        <w:t xml:space="preserve"> муниципального района (городского округа) до распределения дотаций на выравнивание бюджетной обеспеченности;</w:t>
      </w:r>
    </w:p>
    <w:p w:rsidR="00FD0F2B" w:rsidRPr="00FD0F2B" w:rsidRDefault="00FD0F2B" w:rsidP="00FD0F2B">
      <w:pPr>
        <w:autoSpaceDE w:val="0"/>
        <w:autoSpaceDN w:val="0"/>
        <w:adjustRightInd w:val="0"/>
        <w:ind w:firstLine="709"/>
        <w:jc w:val="both"/>
        <w:rPr>
          <w:sz w:val="28"/>
          <w:szCs w:val="28"/>
        </w:rPr>
      </w:pPr>
      <w:proofErr w:type="spellStart"/>
      <w:r w:rsidRPr="00FD0F2B">
        <w:rPr>
          <w:sz w:val="28"/>
          <w:szCs w:val="28"/>
        </w:rPr>
        <w:t>ИНП</w:t>
      </w:r>
      <w:r w:rsidRPr="00FD0F2B">
        <w:rPr>
          <w:sz w:val="28"/>
          <w:szCs w:val="28"/>
          <w:vertAlign w:val="subscript"/>
        </w:rPr>
        <w:t>i</w:t>
      </w:r>
      <w:proofErr w:type="spellEnd"/>
      <w:r w:rsidRPr="00FD0F2B">
        <w:rPr>
          <w:sz w:val="28"/>
          <w:szCs w:val="28"/>
        </w:rPr>
        <w:t xml:space="preserve"> - индекс налогового потенциала i-</w:t>
      </w:r>
      <w:proofErr w:type="spellStart"/>
      <w:r w:rsidRPr="00FD0F2B">
        <w:rPr>
          <w:sz w:val="28"/>
          <w:szCs w:val="28"/>
        </w:rPr>
        <w:t>го</w:t>
      </w:r>
      <w:proofErr w:type="spellEnd"/>
      <w:r w:rsidRPr="00FD0F2B">
        <w:rPr>
          <w:sz w:val="28"/>
          <w:szCs w:val="28"/>
        </w:rPr>
        <w:t xml:space="preserve"> муниципального района (городского округа);</w:t>
      </w:r>
    </w:p>
    <w:p w:rsidR="00FD0F2B" w:rsidRPr="00FD0F2B" w:rsidRDefault="00FD0F2B" w:rsidP="00FD0F2B">
      <w:pPr>
        <w:pStyle w:val="ConsPlusTitle"/>
        <w:ind w:firstLine="709"/>
        <w:rPr>
          <w:rFonts w:ascii="Times New Roman" w:hAnsi="Times New Roman" w:cs="Times New Roman"/>
          <w:b w:val="0"/>
          <w:sz w:val="28"/>
          <w:szCs w:val="28"/>
        </w:rPr>
      </w:pPr>
      <w:proofErr w:type="spellStart"/>
      <w:r w:rsidRPr="00FD0F2B">
        <w:rPr>
          <w:rFonts w:ascii="Times New Roman" w:hAnsi="Times New Roman" w:cs="Times New Roman"/>
          <w:b w:val="0"/>
          <w:sz w:val="28"/>
          <w:szCs w:val="28"/>
        </w:rPr>
        <w:t>ИБР</w:t>
      </w:r>
      <w:r w:rsidRPr="00FD0F2B">
        <w:rPr>
          <w:rFonts w:ascii="Times New Roman" w:hAnsi="Times New Roman" w:cs="Times New Roman"/>
          <w:b w:val="0"/>
          <w:sz w:val="28"/>
          <w:szCs w:val="28"/>
          <w:vertAlign w:val="subscript"/>
        </w:rPr>
        <w:t>i</w:t>
      </w:r>
      <w:proofErr w:type="spellEnd"/>
      <w:r w:rsidRPr="00FD0F2B">
        <w:rPr>
          <w:rFonts w:ascii="Times New Roman" w:hAnsi="Times New Roman" w:cs="Times New Roman"/>
          <w:b w:val="0"/>
          <w:sz w:val="28"/>
          <w:szCs w:val="28"/>
        </w:rPr>
        <w:t xml:space="preserve"> - индекс бюджетных расходов i-</w:t>
      </w:r>
      <w:proofErr w:type="spellStart"/>
      <w:r w:rsidRPr="00FD0F2B">
        <w:rPr>
          <w:rFonts w:ascii="Times New Roman" w:hAnsi="Times New Roman" w:cs="Times New Roman"/>
          <w:b w:val="0"/>
          <w:sz w:val="28"/>
          <w:szCs w:val="28"/>
        </w:rPr>
        <w:t>го</w:t>
      </w:r>
      <w:proofErr w:type="spellEnd"/>
      <w:r w:rsidRPr="00FD0F2B">
        <w:rPr>
          <w:rFonts w:ascii="Times New Roman" w:hAnsi="Times New Roman" w:cs="Times New Roman"/>
          <w:b w:val="0"/>
          <w:sz w:val="28"/>
          <w:szCs w:val="28"/>
        </w:rPr>
        <w:t xml:space="preserve"> муниципального района (городского округа).</w:t>
      </w:r>
    </w:p>
    <w:p w:rsidR="00FD0F2B" w:rsidRPr="00FD0F2B" w:rsidRDefault="00FD0F2B" w:rsidP="00FD0F2B">
      <w:pPr>
        <w:pStyle w:val="ConsPlusTitle"/>
        <w:jc w:val="center"/>
        <w:rPr>
          <w:rFonts w:ascii="Times New Roman" w:hAnsi="Times New Roman" w:cs="Times New Roman"/>
          <w:sz w:val="28"/>
          <w:szCs w:val="28"/>
        </w:rPr>
      </w:pPr>
    </w:p>
    <w:p w:rsidR="00FD0F2B" w:rsidRPr="00FD0F2B" w:rsidRDefault="00FD0F2B" w:rsidP="00FD0F2B">
      <w:pPr>
        <w:pStyle w:val="ConsPlusTitle"/>
        <w:jc w:val="center"/>
        <w:outlineLvl w:val="1"/>
        <w:rPr>
          <w:rFonts w:ascii="Times New Roman" w:hAnsi="Times New Roman" w:cs="Times New Roman"/>
          <w:sz w:val="28"/>
          <w:szCs w:val="28"/>
        </w:rPr>
      </w:pPr>
      <w:r w:rsidRPr="00FD0F2B">
        <w:rPr>
          <w:rFonts w:ascii="Times New Roman" w:hAnsi="Times New Roman" w:cs="Times New Roman"/>
          <w:sz w:val="28"/>
          <w:szCs w:val="28"/>
        </w:rPr>
        <w:t>3. Расчет индекса налогового потенциала</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муниципального района (городского округа)</w:t>
      </w:r>
    </w:p>
    <w:p w:rsidR="00FD0F2B" w:rsidRPr="00FD0F2B" w:rsidRDefault="00FD0F2B" w:rsidP="00FD0F2B">
      <w:pPr>
        <w:pStyle w:val="ConsPlusNormal"/>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Индекс налогового потенциала муниципального района (городского округа) рассчитывается по следующей формуле:</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noProof/>
          <w:position w:val="-35"/>
          <w:sz w:val="28"/>
          <w:szCs w:val="28"/>
        </w:rPr>
        <w:drawing>
          <wp:inline distT="0" distB="0" distL="0" distR="0">
            <wp:extent cx="2385695" cy="588645"/>
            <wp:effectExtent l="0" t="0" r="0" b="1905"/>
            <wp:docPr id="9" name="Рисунок 9" descr="base_23776_123671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776_123671_32776"/>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5695" cy="588645"/>
                    </a:xfrm>
                    <a:prstGeom prst="rect">
                      <a:avLst/>
                    </a:prstGeom>
                    <a:noFill/>
                    <a:ln>
                      <a:noFill/>
                    </a:ln>
                  </pic:spPr>
                </pic:pic>
              </a:graphicData>
            </a:graphic>
          </wp:inline>
        </w:drawing>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ИНП</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индекс налогового потенциала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НП</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FD0F2B" w:rsidRPr="00FD0F2B" w:rsidRDefault="00FD0F2B" w:rsidP="00FD0F2B">
      <w:pPr>
        <w:pStyle w:val="ConsPlusNormal"/>
        <w:spacing w:before="220"/>
        <w:ind w:firstLine="540"/>
        <w:jc w:val="both"/>
        <w:rPr>
          <w:rFonts w:ascii="Times New Roman" w:hAnsi="Times New Roman" w:cs="Times New Roman"/>
          <w:sz w:val="28"/>
          <w:szCs w:val="28"/>
        </w:rPr>
      </w:pPr>
      <w:proofErr w:type="spellStart"/>
      <w:r w:rsidRPr="00FD0F2B">
        <w:rPr>
          <w:rFonts w:ascii="Times New Roman" w:hAnsi="Times New Roman" w:cs="Times New Roman"/>
          <w:sz w:val="28"/>
          <w:szCs w:val="28"/>
        </w:rPr>
        <w:t>N</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численность постоянного населения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w:t>
      </w:r>
      <w:r w:rsidRPr="00FD0F2B">
        <w:rPr>
          <w:rFonts w:ascii="Times New Roman" w:hAnsi="Times New Roman" w:cs="Times New Roman"/>
          <w:sz w:val="28"/>
          <w:szCs w:val="28"/>
        </w:rPr>
        <w:lastRenderedPageBreak/>
        <w:t>(городского округа) по данным территориального органа Федеральной службы государственной статистики по Ивановской области.</w:t>
      </w:r>
    </w:p>
    <w:p w:rsidR="00FD0F2B" w:rsidRPr="00FD0F2B" w:rsidRDefault="00FD0F2B" w:rsidP="00FD0F2B">
      <w:pPr>
        <w:pStyle w:val="ConsPlusNormal"/>
        <w:rPr>
          <w:rFonts w:ascii="Times New Roman" w:hAnsi="Times New Roman" w:cs="Times New Roman"/>
          <w:sz w:val="28"/>
          <w:szCs w:val="28"/>
        </w:rPr>
      </w:pPr>
    </w:p>
    <w:p w:rsidR="00FD0F2B" w:rsidRPr="00FD0F2B" w:rsidRDefault="00FD0F2B" w:rsidP="00FD0F2B">
      <w:pPr>
        <w:pStyle w:val="ConsPlusTitle"/>
        <w:jc w:val="center"/>
        <w:outlineLvl w:val="1"/>
        <w:rPr>
          <w:rFonts w:ascii="Times New Roman" w:hAnsi="Times New Roman" w:cs="Times New Roman"/>
          <w:sz w:val="28"/>
          <w:szCs w:val="28"/>
        </w:rPr>
      </w:pPr>
      <w:r w:rsidRPr="00FD0F2B">
        <w:rPr>
          <w:rFonts w:ascii="Times New Roman" w:hAnsi="Times New Roman" w:cs="Times New Roman"/>
          <w:sz w:val="28"/>
          <w:szCs w:val="28"/>
        </w:rPr>
        <w:t>4. Расчет налогового потенциала</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муниципального района (городского округа)</w:t>
      </w:r>
    </w:p>
    <w:p w:rsidR="00FD0F2B" w:rsidRPr="00FD0F2B" w:rsidRDefault="00FD0F2B" w:rsidP="00FD0F2B">
      <w:pPr>
        <w:pStyle w:val="ConsPlusNormal"/>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Налоговый потенциал муниципального района (городского округа) рассчитывается по формуле:</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НП</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НП(</w:t>
      </w: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НП(</w:t>
      </w:r>
      <w:proofErr w:type="spellStart"/>
      <w:r w:rsidRPr="00FD0F2B">
        <w:rPr>
          <w:rFonts w:ascii="Times New Roman" w:hAnsi="Times New Roman" w:cs="Times New Roman"/>
          <w:sz w:val="28"/>
          <w:szCs w:val="28"/>
        </w:rPr>
        <w:t>ЕНВД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НП(</w:t>
      </w:r>
      <w:proofErr w:type="spellStart"/>
      <w:r w:rsidRPr="00FD0F2B">
        <w:rPr>
          <w:rFonts w:ascii="Times New Roman" w:hAnsi="Times New Roman" w:cs="Times New Roman"/>
          <w:sz w:val="28"/>
          <w:szCs w:val="28"/>
        </w:rPr>
        <w:t>Пр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где (4)</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НП</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НП(</w:t>
      </w: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налогу на доходы физических лиц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НП(</w:t>
      </w:r>
      <w:proofErr w:type="spellStart"/>
      <w:r w:rsidRPr="00FD0F2B">
        <w:rPr>
          <w:rFonts w:ascii="Times New Roman" w:hAnsi="Times New Roman" w:cs="Times New Roman"/>
          <w:sz w:val="28"/>
          <w:szCs w:val="28"/>
        </w:rPr>
        <w:t>ЕНВД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единому налогу на вмененный доход для отдельных видов деятельности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НП(</w:t>
      </w:r>
      <w:proofErr w:type="spellStart"/>
      <w:r w:rsidRPr="00FD0F2B">
        <w:rPr>
          <w:rFonts w:ascii="Times New Roman" w:hAnsi="Times New Roman" w:cs="Times New Roman"/>
          <w:sz w:val="28"/>
          <w:szCs w:val="28"/>
        </w:rPr>
        <w:t>Пр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прочим видам налогов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Налоговый потенциал муниципального района (городского округа) по отдельным налогам рассчитывается по формулам:</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noProof/>
          <w:position w:val="-18"/>
          <w:sz w:val="28"/>
          <w:szCs w:val="28"/>
        </w:rPr>
        <w:drawing>
          <wp:inline distT="0" distB="0" distL="0" distR="0">
            <wp:extent cx="5375275" cy="374015"/>
            <wp:effectExtent l="0" t="0" r="0" b="6985"/>
            <wp:docPr id="8" name="Рисунок 8" descr="base_23776_123671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776_123671_32777"/>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5275" cy="374015"/>
                    </a:xfrm>
                    <a:prstGeom prst="rect">
                      <a:avLst/>
                    </a:prstGeom>
                    <a:noFill/>
                    <a:ln>
                      <a:noFill/>
                    </a:ln>
                  </pic:spPr>
                </pic:pic>
              </a:graphicData>
            </a:graphic>
          </wp:inline>
        </w:drawing>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НП(</w:t>
      </w: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налогу на доходы физических лиц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Пр</w:t>
      </w:r>
      <w:proofErr w:type="spellEnd"/>
      <w:r w:rsidRPr="00FD0F2B">
        <w:rPr>
          <w:rFonts w:ascii="Times New Roman" w:hAnsi="Times New Roman" w:cs="Times New Roman"/>
          <w:sz w:val="28"/>
          <w:szCs w:val="28"/>
        </w:rPr>
        <w:t>(НДФЛ) - прогноз доходов бюджетов муниципальных районов (городских округов) по налогу на доходы физических лиц (без учета доходов, которые могут быть получены по дополнительным нормативам отчислений, заменяющим дотации на выравнивание бюджетной обеспеченности муниципальных районов (городских округов)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НБ(</w:t>
      </w: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общая сумма исчисленного налога на доходы физических лиц на территории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за последний отчетный год в соответствии с отчетами о налоговой базе и структуре начислений по налогу, представляемыми УФНС России по </w:t>
      </w:r>
      <w:r w:rsidRPr="00FD0F2B">
        <w:rPr>
          <w:rFonts w:ascii="Times New Roman" w:hAnsi="Times New Roman" w:cs="Times New Roman"/>
          <w:sz w:val="28"/>
          <w:szCs w:val="28"/>
        </w:rPr>
        <w:lastRenderedPageBreak/>
        <w:t>Ивановской области;</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Кнп</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корректирующий коэффициент, применяемый при расчете налогового потенциала по налогу на доходы физических лиц на очередной финансовый год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Корректирующий коэффициент применяется при расчете налогового потенциала по налогу на доходы физических лиц на очередной финансовый год в случае, если </w:t>
      </w:r>
      <w:proofErr w:type="spellStart"/>
      <w:r w:rsidRPr="00FD0F2B">
        <w:rPr>
          <w:rFonts w:ascii="Times New Roman" w:hAnsi="Times New Roman" w:cs="Times New Roman"/>
          <w:sz w:val="28"/>
          <w:szCs w:val="28"/>
        </w:rPr>
        <w:t>среднеобластной</w:t>
      </w:r>
      <w:proofErr w:type="spellEnd"/>
      <w:r w:rsidRPr="00FD0F2B">
        <w:rPr>
          <w:rFonts w:ascii="Times New Roman" w:hAnsi="Times New Roman" w:cs="Times New Roman"/>
          <w:sz w:val="28"/>
          <w:szCs w:val="28"/>
        </w:rPr>
        <w:t xml:space="preserve"> темп роста фактических доходов бюджетов муниципальных районов (городских округов) по налогу на доходы физических лиц (без учета налоговых доходов по дополнительным нормативам отчислений) за 7 месяцев текущего финансового года к аналогичному периоду отчетного года выше аналогичного показателя в муниципальном районе (городском округе) более чем на 15 процентов.</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Корректирующий коэффициент рассчитывается по следующей формуле:</w:t>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540"/>
        <w:jc w:val="both"/>
        <w:rPr>
          <w:rFonts w:ascii="Times New Roman" w:hAnsi="Times New Roman" w:cs="Times New Roman"/>
          <w:sz w:val="28"/>
          <w:szCs w:val="28"/>
        </w:rPr>
      </w:pPr>
      <w:proofErr w:type="spellStart"/>
      <w:r w:rsidRPr="00FD0F2B">
        <w:rPr>
          <w:rFonts w:ascii="Times New Roman" w:hAnsi="Times New Roman" w:cs="Times New Roman"/>
          <w:sz w:val="28"/>
          <w:szCs w:val="28"/>
        </w:rPr>
        <w:t>Кнп</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w:t>
      </w:r>
      <w:proofErr w:type="spellStart"/>
      <w:r w:rsidRPr="00FD0F2B">
        <w:rPr>
          <w:rFonts w:ascii="Times New Roman" w:hAnsi="Times New Roman" w:cs="Times New Roman"/>
          <w:sz w:val="28"/>
          <w:szCs w:val="28"/>
        </w:rPr>
        <w:t>ТР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ТР, где (6)</w:t>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Кнп</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корректирующий коэффициент, применяемый при расчете налогового потенциала по налогу на доходы физических лиц на очередной финансовый год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ТР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темп роста фактических доходов бюджета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налогу на доходы физических лиц за 7 месяцев текущего финансового года к аналогичному периоду отчетного года (без учета налоговых доходов по дополнительным нормативам отчислений);</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ТР - </w:t>
      </w:r>
      <w:proofErr w:type="spellStart"/>
      <w:r w:rsidRPr="00FD0F2B">
        <w:rPr>
          <w:rFonts w:ascii="Times New Roman" w:hAnsi="Times New Roman" w:cs="Times New Roman"/>
          <w:sz w:val="28"/>
          <w:szCs w:val="28"/>
        </w:rPr>
        <w:t>среднеобластной</w:t>
      </w:r>
      <w:proofErr w:type="spellEnd"/>
      <w:r w:rsidRPr="00FD0F2B">
        <w:rPr>
          <w:rFonts w:ascii="Times New Roman" w:hAnsi="Times New Roman" w:cs="Times New Roman"/>
          <w:sz w:val="28"/>
          <w:szCs w:val="28"/>
        </w:rPr>
        <w:t xml:space="preserve"> темп роста фактических доходов бюджетов муниципальных районов и городских округов по налогу на доходы физических лиц за 7 месяцев текущего финансового года к аналогичному периоду отчетного года (без учета налоговых доходов по дополнительным нормативам отчислений).</w:t>
      </w:r>
    </w:p>
    <w:p w:rsidR="00FD0F2B" w:rsidRPr="00FD0F2B" w:rsidRDefault="00FD0F2B" w:rsidP="00FD0F2B">
      <w:pPr>
        <w:pStyle w:val="ConsPlusNormal"/>
        <w:jc w:val="both"/>
        <w:rPr>
          <w:rFonts w:ascii="Times New Roman" w:hAnsi="Times New Roman" w:cs="Times New Roman"/>
          <w:sz w:val="28"/>
          <w:szCs w:val="28"/>
        </w:rPr>
      </w:pPr>
    </w:p>
    <w:p w:rsidR="00FD0F2B" w:rsidRPr="00FD0F2B" w:rsidRDefault="00FD0F2B" w:rsidP="00FD0F2B">
      <w:pPr>
        <w:pStyle w:val="ConsPlusNormal"/>
        <w:ind w:firstLine="540"/>
        <w:jc w:val="both"/>
        <w:rPr>
          <w:rFonts w:ascii="Times New Roman" w:hAnsi="Times New Roman" w:cs="Times New Roman"/>
          <w:sz w:val="28"/>
          <w:szCs w:val="28"/>
        </w:rPr>
      </w:pPr>
      <w:r w:rsidRPr="00FD0F2B">
        <w:rPr>
          <w:rFonts w:ascii="Times New Roman" w:hAnsi="Times New Roman" w:cs="Times New Roman"/>
          <w:noProof/>
          <w:position w:val="-18"/>
          <w:sz w:val="28"/>
          <w:szCs w:val="28"/>
        </w:rPr>
        <w:drawing>
          <wp:inline distT="0" distB="0" distL="0" distR="0">
            <wp:extent cx="4739005" cy="374015"/>
            <wp:effectExtent l="0" t="0" r="4445" b="6985"/>
            <wp:docPr id="7" name="Рисунок 7" descr="base_23776_123671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776_123671_32778"/>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39005" cy="374015"/>
                    </a:xfrm>
                    <a:prstGeom prst="rect">
                      <a:avLst/>
                    </a:prstGeom>
                    <a:noFill/>
                    <a:ln>
                      <a:noFill/>
                    </a:ln>
                  </pic:spPr>
                </pic:pic>
              </a:graphicData>
            </a:graphic>
          </wp:inline>
        </w:drawing>
      </w:r>
    </w:p>
    <w:p w:rsidR="00FD0F2B" w:rsidRPr="00FD0F2B" w:rsidRDefault="00FD0F2B" w:rsidP="00FD0F2B">
      <w:pPr>
        <w:pStyle w:val="ConsPlusNormal"/>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НП(</w:t>
      </w:r>
      <w:proofErr w:type="spellStart"/>
      <w:r w:rsidRPr="00FD0F2B">
        <w:rPr>
          <w:rFonts w:ascii="Times New Roman" w:hAnsi="Times New Roman" w:cs="Times New Roman"/>
          <w:sz w:val="28"/>
          <w:szCs w:val="28"/>
        </w:rPr>
        <w:t>ЕНВД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единому налогу на вмененный доход для отдельных видов деятельности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Пр</w:t>
      </w:r>
      <w:proofErr w:type="spellEnd"/>
      <w:r w:rsidRPr="00FD0F2B">
        <w:rPr>
          <w:rFonts w:ascii="Times New Roman" w:hAnsi="Times New Roman" w:cs="Times New Roman"/>
          <w:sz w:val="28"/>
          <w:szCs w:val="28"/>
        </w:rPr>
        <w:t>(ЕНВД) - прогноз доходов бюджетов муниципальных районов (городских округов) по единому налогу на вмененный доход для отдельных видов деятельности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НБ(</w:t>
      </w:r>
      <w:proofErr w:type="spellStart"/>
      <w:r w:rsidRPr="00FD0F2B">
        <w:rPr>
          <w:rFonts w:ascii="Times New Roman" w:hAnsi="Times New Roman" w:cs="Times New Roman"/>
          <w:sz w:val="28"/>
          <w:szCs w:val="28"/>
        </w:rPr>
        <w:t>ЕНВД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общая сумма исчисленного единого налога на вмененный доход для отдельных видов деятельности на территории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за последний отчетный год в соответствии с отчетом о налоговой базе и структуре начислений по налогу, </w:t>
      </w:r>
      <w:r w:rsidRPr="00FD0F2B">
        <w:rPr>
          <w:rFonts w:ascii="Times New Roman" w:hAnsi="Times New Roman" w:cs="Times New Roman"/>
          <w:sz w:val="28"/>
          <w:szCs w:val="28"/>
        </w:rPr>
        <w:lastRenderedPageBreak/>
        <w:t>представляемому УФНС России по Ивановской области.</w:t>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540"/>
        <w:jc w:val="both"/>
        <w:rPr>
          <w:rFonts w:ascii="Times New Roman" w:hAnsi="Times New Roman" w:cs="Times New Roman"/>
          <w:sz w:val="28"/>
          <w:szCs w:val="28"/>
        </w:rPr>
      </w:pPr>
      <w:r w:rsidRPr="00FD0F2B">
        <w:rPr>
          <w:rFonts w:ascii="Times New Roman" w:hAnsi="Times New Roman" w:cs="Times New Roman"/>
          <w:noProof/>
          <w:position w:val="-39"/>
          <w:sz w:val="28"/>
          <w:szCs w:val="28"/>
        </w:rPr>
        <w:drawing>
          <wp:inline distT="0" distB="0" distL="0" distR="0">
            <wp:extent cx="4946015" cy="636270"/>
            <wp:effectExtent l="0" t="0" r="6985" b="0"/>
            <wp:docPr id="6" name="Рисунок 6" descr="base_23776_123671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776_123671_32779"/>
                    <pic:cNvPicPr preferRelativeResize="0">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6015" cy="636270"/>
                    </a:xfrm>
                    <a:prstGeom prst="rect">
                      <a:avLst/>
                    </a:prstGeom>
                    <a:noFill/>
                    <a:ln>
                      <a:noFill/>
                    </a:ln>
                  </pic:spPr>
                </pic:pic>
              </a:graphicData>
            </a:graphic>
          </wp:inline>
        </w:drawing>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НП(</w:t>
      </w:r>
      <w:proofErr w:type="spellStart"/>
      <w:r w:rsidRPr="00FD0F2B">
        <w:rPr>
          <w:rFonts w:ascii="Times New Roman" w:hAnsi="Times New Roman" w:cs="Times New Roman"/>
          <w:sz w:val="28"/>
          <w:szCs w:val="28"/>
        </w:rPr>
        <w:t>Пр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прочим видам налогов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Пр</w:t>
      </w:r>
      <w:proofErr w:type="spellEnd"/>
      <w:r w:rsidRPr="00FD0F2B">
        <w:rPr>
          <w:rFonts w:ascii="Times New Roman" w:hAnsi="Times New Roman" w:cs="Times New Roman"/>
          <w:sz w:val="28"/>
          <w:szCs w:val="28"/>
        </w:rPr>
        <w:t>(НД) - прогноз налоговых доходов бюджетов муниципальных районов (городских округов) на очередной финансовый год (первый год планового периода, второй год планового периода), за исключением доходов от акцизов на автомобильный и прямогонный бензин, дизельное топливо, моторные масла для дизельных и (или) карбюраторных (</w:t>
      </w:r>
      <w:proofErr w:type="spellStart"/>
      <w:r w:rsidRPr="00FD0F2B">
        <w:rPr>
          <w:rFonts w:ascii="Times New Roman" w:hAnsi="Times New Roman" w:cs="Times New Roman"/>
          <w:sz w:val="28"/>
          <w:szCs w:val="28"/>
        </w:rPr>
        <w:t>инжекторных</w:t>
      </w:r>
      <w:proofErr w:type="spellEnd"/>
      <w:r w:rsidRPr="00FD0F2B">
        <w:rPr>
          <w:rFonts w:ascii="Times New Roman" w:hAnsi="Times New Roman" w:cs="Times New Roman"/>
          <w:sz w:val="28"/>
          <w:szCs w:val="28"/>
        </w:rPr>
        <w:t>) двигателей, производимых на территории Российской Федерации, передаваемых в местные бюджеты по дифференцированным нормативам отчислений и зачисляемых в муниципальные дорожные фонды;</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Пр</w:t>
      </w:r>
      <w:proofErr w:type="spellEnd"/>
      <w:r w:rsidRPr="00FD0F2B">
        <w:rPr>
          <w:rFonts w:ascii="Times New Roman" w:hAnsi="Times New Roman" w:cs="Times New Roman"/>
          <w:sz w:val="28"/>
          <w:szCs w:val="28"/>
        </w:rPr>
        <w:t>(НДФЛ) - прогноз доходов бюджетов муниципальных районов (городских округов) по налогу на доходы физических лиц (без учета доходов, которые могут быть получены по дополнительным нормативам отчислений, заменяющим дотации на выравнивание бюджетной обеспеченности муниципальных районов (городских округов),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Пр</w:t>
      </w:r>
      <w:proofErr w:type="spellEnd"/>
      <w:r w:rsidRPr="00FD0F2B">
        <w:rPr>
          <w:rFonts w:ascii="Times New Roman" w:hAnsi="Times New Roman" w:cs="Times New Roman"/>
          <w:sz w:val="28"/>
          <w:szCs w:val="28"/>
        </w:rPr>
        <w:t>(ЕНВД) - прогноз доходов бюджетов муниципальных районов (городских округов) по единому налогу на вмененный доход для отдельных видов деятельности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НП(</w:t>
      </w: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налогу на доходы физических лиц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НП(</w:t>
      </w:r>
      <w:proofErr w:type="spellStart"/>
      <w:r w:rsidRPr="00FD0F2B">
        <w:rPr>
          <w:rFonts w:ascii="Times New Roman" w:hAnsi="Times New Roman" w:cs="Times New Roman"/>
          <w:sz w:val="28"/>
          <w:szCs w:val="28"/>
        </w:rPr>
        <w:t>ЕНВД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налоговый потенциал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единому налогу на вмененный доход для отдельных видов деятельности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При расчете налогового потенциала на первый и второй годы планового периода используются прогнозные данные по прогнозу общего объема налоговых доходов бюджетов муниципальных районов (городских округов) для соответствующих лет. Отчетные данные, используемые в расчете индекса налогового потенциала, применяются едиными для расчетов на очередной финансовый год и плановый период.</w:t>
      </w:r>
    </w:p>
    <w:p w:rsidR="00FD0F2B" w:rsidRPr="00FD0F2B" w:rsidRDefault="00FD0F2B" w:rsidP="00FD0F2B">
      <w:pPr>
        <w:pStyle w:val="ConsPlusNormal"/>
        <w:rPr>
          <w:rFonts w:ascii="Times New Roman" w:hAnsi="Times New Roman" w:cs="Times New Roman"/>
          <w:sz w:val="28"/>
          <w:szCs w:val="28"/>
        </w:rPr>
      </w:pPr>
    </w:p>
    <w:p w:rsidR="00FD0F2B" w:rsidRPr="00FD0F2B" w:rsidRDefault="00FD0F2B" w:rsidP="00FD0F2B">
      <w:pPr>
        <w:pStyle w:val="ConsPlusTitle"/>
        <w:jc w:val="center"/>
        <w:outlineLvl w:val="1"/>
        <w:rPr>
          <w:rFonts w:ascii="Times New Roman" w:hAnsi="Times New Roman" w:cs="Times New Roman"/>
          <w:sz w:val="28"/>
          <w:szCs w:val="28"/>
        </w:rPr>
      </w:pPr>
      <w:r w:rsidRPr="00FD0F2B">
        <w:rPr>
          <w:rFonts w:ascii="Times New Roman" w:hAnsi="Times New Roman" w:cs="Times New Roman"/>
          <w:sz w:val="28"/>
          <w:szCs w:val="28"/>
        </w:rPr>
        <w:t>5. Расчет индекса бюджетных расходов</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муниципальных районов (городских округов)</w:t>
      </w:r>
    </w:p>
    <w:p w:rsidR="00FD0F2B" w:rsidRPr="00FD0F2B" w:rsidRDefault="00FD0F2B" w:rsidP="00FD0F2B">
      <w:pPr>
        <w:pStyle w:val="ConsPlusNormal"/>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lastRenderedPageBreak/>
        <w:t xml:space="preserve">Индекс бюджетных расходов муниципальных районов (городских округов) рассчитывается по репрезентативной системе расходных обязательств, которая включает в себя основные виды расходных обязательств, связанных с решением вопросов местного значения. Указанные вопросы местного значения приведены в </w:t>
      </w:r>
      <w:hyperlink w:anchor="P532" w:history="1">
        <w:r w:rsidRPr="00FD0F2B">
          <w:rPr>
            <w:rFonts w:ascii="Times New Roman" w:hAnsi="Times New Roman" w:cs="Times New Roman"/>
            <w:color w:val="0000FF"/>
            <w:sz w:val="28"/>
            <w:szCs w:val="28"/>
          </w:rPr>
          <w:t>таблице</w:t>
        </w:r>
      </w:hyperlink>
      <w:r w:rsidRPr="00FD0F2B">
        <w:rPr>
          <w:rFonts w:ascii="Times New Roman" w:hAnsi="Times New Roman" w:cs="Times New Roman"/>
          <w:sz w:val="28"/>
          <w:szCs w:val="28"/>
        </w:rPr>
        <w:t xml:space="preserve"> к настоящему приложению.</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Индекс бюджетных расходов муниципальных районов (городских округов) рассчитывается по следующей формуле:</w:t>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540"/>
        <w:jc w:val="both"/>
        <w:rPr>
          <w:rFonts w:ascii="Times New Roman" w:hAnsi="Times New Roman" w:cs="Times New Roman"/>
          <w:sz w:val="28"/>
          <w:szCs w:val="28"/>
        </w:rPr>
      </w:pPr>
      <w:r w:rsidRPr="00FD0F2B">
        <w:rPr>
          <w:rFonts w:ascii="Times New Roman" w:hAnsi="Times New Roman" w:cs="Times New Roman"/>
          <w:noProof/>
          <w:position w:val="-18"/>
          <w:sz w:val="28"/>
          <w:szCs w:val="28"/>
        </w:rPr>
        <w:drawing>
          <wp:inline distT="0" distB="0" distL="0" distR="0">
            <wp:extent cx="2266315" cy="374015"/>
            <wp:effectExtent l="0" t="0" r="635" b="6985"/>
            <wp:docPr id="5" name="Рисунок 5" descr="base_23776_123671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776_123671_32780"/>
                    <pic:cNvPicPr preferRelativeResize="0">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6315" cy="374015"/>
                    </a:xfrm>
                    <a:prstGeom prst="rect">
                      <a:avLst/>
                    </a:prstGeom>
                    <a:noFill/>
                    <a:ln>
                      <a:noFill/>
                    </a:ln>
                  </pic:spPr>
                </pic:pic>
              </a:graphicData>
            </a:graphic>
          </wp:inline>
        </w:drawing>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ИБР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индекс бюджетных расходов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а</w:t>
      </w:r>
      <w:r w:rsidRPr="00FD0F2B">
        <w:rPr>
          <w:rFonts w:ascii="Times New Roman" w:hAnsi="Times New Roman" w:cs="Times New Roman"/>
          <w:sz w:val="28"/>
          <w:szCs w:val="28"/>
          <w:vertAlign w:val="subscript"/>
        </w:rPr>
        <w:t>j</w:t>
      </w:r>
      <w:proofErr w:type="spellEnd"/>
      <w:r w:rsidRPr="00FD0F2B">
        <w:rPr>
          <w:rFonts w:ascii="Times New Roman" w:hAnsi="Times New Roman" w:cs="Times New Roman"/>
          <w:sz w:val="28"/>
          <w:szCs w:val="28"/>
        </w:rPr>
        <w:t xml:space="preserve"> - доля j-</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вида расходов в составе репрезентативной системы расходных обязательств, приведенных в </w:t>
      </w:r>
      <w:hyperlink w:anchor="P532" w:history="1">
        <w:r w:rsidRPr="00FD0F2B">
          <w:rPr>
            <w:rFonts w:ascii="Times New Roman" w:hAnsi="Times New Roman" w:cs="Times New Roman"/>
            <w:color w:val="0000FF"/>
            <w:sz w:val="28"/>
            <w:szCs w:val="28"/>
          </w:rPr>
          <w:t>таблице</w:t>
        </w:r>
      </w:hyperlink>
      <w:r w:rsidRPr="00FD0F2B">
        <w:rPr>
          <w:rFonts w:ascii="Times New Roman" w:hAnsi="Times New Roman" w:cs="Times New Roman"/>
          <w:sz w:val="28"/>
          <w:szCs w:val="28"/>
        </w:rPr>
        <w:t xml:space="preserve"> к настоящему приложению;</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ИБР</w:t>
      </w:r>
      <w:r w:rsidRPr="00FD0F2B">
        <w:rPr>
          <w:rFonts w:ascii="Times New Roman" w:hAnsi="Times New Roman" w:cs="Times New Roman"/>
          <w:sz w:val="28"/>
          <w:szCs w:val="28"/>
          <w:vertAlign w:val="subscript"/>
        </w:rPr>
        <w:t>ij</w:t>
      </w:r>
      <w:proofErr w:type="spellEnd"/>
      <w:r w:rsidRPr="00FD0F2B">
        <w:rPr>
          <w:rFonts w:ascii="Times New Roman" w:hAnsi="Times New Roman" w:cs="Times New Roman"/>
          <w:sz w:val="28"/>
          <w:szCs w:val="28"/>
        </w:rPr>
        <w:t xml:space="preserve"> - индекс бюджетных расходов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j-</w:t>
      </w:r>
      <w:proofErr w:type="spellStart"/>
      <w:r w:rsidRPr="00FD0F2B">
        <w:rPr>
          <w:rFonts w:ascii="Times New Roman" w:hAnsi="Times New Roman" w:cs="Times New Roman"/>
          <w:sz w:val="28"/>
          <w:szCs w:val="28"/>
        </w:rPr>
        <w:t>му</w:t>
      </w:r>
      <w:proofErr w:type="spellEnd"/>
      <w:r w:rsidRPr="00FD0F2B">
        <w:rPr>
          <w:rFonts w:ascii="Times New Roman" w:hAnsi="Times New Roman" w:cs="Times New Roman"/>
          <w:sz w:val="28"/>
          <w:szCs w:val="28"/>
        </w:rPr>
        <w:t xml:space="preserve"> виду расходов репрезентативной системы расходных обязательств.</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Индекс бюджетных расходов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отдельному виду расходов репрезентативной системы расходных обязательств рассчитывается по формуле:</w:t>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540"/>
        <w:jc w:val="both"/>
        <w:rPr>
          <w:rFonts w:ascii="Times New Roman" w:hAnsi="Times New Roman" w:cs="Times New Roman"/>
          <w:sz w:val="28"/>
          <w:szCs w:val="28"/>
        </w:rPr>
      </w:pPr>
      <w:r w:rsidRPr="00FD0F2B">
        <w:rPr>
          <w:rFonts w:ascii="Times New Roman" w:hAnsi="Times New Roman" w:cs="Times New Roman"/>
          <w:noProof/>
          <w:position w:val="-45"/>
          <w:sz w:val="28"/>
          <w:szCs w:val="28"/>
        </w:rPr>
        <w:drawing>
          <wp:inline distT="0" distB="0" distL="0" distR="0">
            <wp:extent cx="4349115" cy="723265"/>
            <wp:effectExtent l="0" t="0" r="0" b="635"/>
            <wp:docPr id="4" name="Рисунок 4" descr="base_23776_123671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776_123671_32781"/>
                    <pic:cNvPicPr preferRelativeResize="0">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9115" cy="723265"/>
                    </a:xfrm>
                    <a:prstGeom prst="rect">
                      <a:avLst/>
                    </a:prstGeom>
                    <a:noFill/>
                    <a:ln>
                      <a:noFill/>
                    </a:ln>
                  </pic:spPr>
                </pic:pic>
              </a:graphicData>
            </a:graphic>
          </wp:inline>
        </w:drawing>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ИБР</w:t>
      </w:r>
      <w:r w:rsidRPr="00FD0F2B">
        <w:rPr>
          <w:rFonts w:ascii="Times New Roman" w:hAnsi="Times New Roman" w:cs="Times New Roman"/>
          <w:sz w:val="28"/>
          <w:szCs w:val="28"/>
          <w:vertAlign w:val="subscript"/>
        </w:rPr>
        <w:t>ij</w:t>
      </w:r>
      <w:proofErr w:type="spellEnd"/>
      <w:r w:rsidRPr="00FD0F2B">
        <w:rPr>
          <w:rFonts w:ascii="Times New Roman" w:hAnsi="Times New Roman" w:cs="Times New Roman"/>
          <w:sz w:val="28"/>
          <w:szCs w:val="28"/>
        </w:rPr>
        <w:t xml:space="preserve"> - индекс бюджетных расходов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j-</w:t>
      </w:r>
      <w:proofErr w:type="spellStart"/>
      <w:r w:rsidRPr="00FD0F2B">
        <w:rPr>
          <w:rFonts w:ascii="Times New Roman" w:hAnsi="Times New Roman" w:cs="Times New Roman"/>
          <w:sz w:val="28"/>
          <w:szCs w:val="28"/>
        </w:rPr>
        <w:t>му</w:t>
      </w:r>
      <w:proofErr w:type="spellEnd"/>
      <w:r w:rsidRPr="00FD0F2B">
        <w:rPr>
          <w:rFonts w:ascii="Times New Roman" w:hAnsi="Times New Roman" w:cs="Times New Roman"/>
          <w:sz w:val="28"/>
          <w:szCs w:val="28"/>
        </w:rPr>
        <w:t xml:space="preserve"> виду расходов репрезентативной системы расходных обязательств;</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П</w:t>
      </w:r>
      <w:r w:rsidRPr="00FD0F2B">
        <w:rPr>
          <w:rFonts w:ascii="Times New Roman" w:hAnsi="Times New Roman" w:cs="Times New Roman"/>
          <w:sz w:val="28"/>
          <w:szCs w:val="28"/>
          <w:vertAlign w:val="subscript"/>
        </w:rPr>
        <w:t>ij</w:t>
      </w:r>
      <w:proofErr w:type="spellEnd"/>
      <w:r w:rsidRPr="00FD0F2B">
        <w:rPr>
          <w:rFonts w:ascii="Times New Roman" w:hAnsi="Times New Roman" w:cs="Times New Roman"/>
          <w:sz w:val="28"/>
          <w:szCs w:val="28"/>
        </w:rPr>
        <w:t xml:space="preserve"> - численность условных потребителей муниципальных услуг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j-</w:t>
      </w:r>
      <w:proofErr w:type="spellStart"/>
      <w:r w:rsidRPr="00FD0F2B">
        <w:rPr>
          <w:rFonts w:ascii="Times New Roman" w:hAnsi="Times New Roman" w:cs="Times New Roman"/>
          <w:sz w:val="28"/>
          <w:szCs w:val="28"/>
        </w:rPr>
        <w:t>му</w:t>
      </w:r>
      <w:proofErr w:type="spellEnd"/>
      <w:r w:rsidRPr="00FD0F2B">
        <w:rPr>
          <w:rFonts w:ascii="Times New Roman" w:hAnsi="Times New Roman" w:cs="Times New Roman"/>
          <w:sz w:val="28"/>
          <w:szCs w:val="28"/>
        </w:rPr>
        <w:t xml:space="preserve"> виду расходов, входящему в состав репрезентативной системы расходных обязательств, согласно </w:t>
      </w:r>
      <w:hyperlink w:anchor="P532" w:history="1">
        <w:r w:rsidRPr="00FD0F2B">
          <w:rPr>
            <w:rFonts w:ascii="Times New Roman" w:hAnsi="Times New Roman" w:cs="Times New Roman"/>
            <w:color w:val="0000FF"/>
            <w:sz w:val="28"/>
            <w:szCs w:val="28"/>
          </w:rPr>
          <w:t>таблице</w:t>
        </w:r>
      </w:hyperlink>
      <w:r w:rsidRPr="00FD0F2B">
        <w:rPr>
          <w:rFonts w:ascii="Times New Roman" w:hAnsi="Times New Roman" w:cs="Times New Roman"/>
          <w:sz w:val="28"/>
          <w:szCs w:val="28"/>
        </w:rPr>
        <w:t xml:space="preserve"> к настоящему приложению по данным за отчетный год;</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N</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численность постоянного населения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данным территориального органа Федеральной службы государственной статистики по Ивановской области;</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k1</w:t>
      </w:r>
      <w:r w:rsidRPr="00FD0F2B">
        <w:rPr>
          <w:rFonts w:ascii="Times New Roman" w:hAnsi="Times New Roman" w:cs="Times New Roman"/>
          <w:sz w:val="28"/>
          <w:szCs w:val="28"/>
          <w:vertAlign w:val="subscript"/>
        </w:rPr>
        <w:t>ij</w:t>
      </w:r>
      <w:r w:rsidRPr="00FD0F2B">
        <w:rPr>
          <w:rFonts w:ascii="Times New Roman" w:hAnsi="Times New Roman" w:cs="Times New Roman"/>
          <w:sz w:val="28"/>
          <w:szCs w:val="28"/>
        </w:rPr>
        <w:t xml:space="preserve"> ... </w:t>
      </w:r>
      <w:proofErr w:type="spellStart"/>
      <w:r w:rsidRPr="00FD0F2B">
        <w:rPr>
          <w:rFonts w:ascii="Times New Roman" w:hAnsi="Times New Roman" w:cs="Times New Roman"/>
          <w:sz w:val="28"/>
          <w:szCs w:val="28"/>
        </w:rPr>
        <w:t>kn</w:t>
      </w:r>
      <w:r w:rsidRPr="00FD0F2B">
        <w:rPr>
          <w:rFonts w:ascii="Times New Roman" w:hAnsi="Times New Roman" w:cs="Times New Roman"/>
          <w:sz w:val="28"/>
          <w:szCs w:val="28"/>
          <w:vertAlign w:val="subscript"/>
        </w:rPr>
        <w:t>ij</w:t>
      </w:r>
      <w:proofErr w:type="spellEnd"/>
      <w:r w:rsidRPr="00FD0F2B">
        <w:rPr>
          <w:rFonts w:ascii="Times New Roman" w:hAnsi="Times New Roman" w:cs="Times New Roman"/>
          <w:sz w:val="28"/>
          <w:szCs w:val="28"/>
        </w:rPr>
        <w:t xml:space="preserve"> - коэффициенты удорожания стоимости предоставления муниципальных услуг, отражающие факторы, влияющие на стоимость и объем предоставления муниципальных услуг по j-</w:t>
      </w:r>
      <w:proofErr w:type="spellStart"/>
      <w:r w:rsidRPr="00FD0F2B">
        <w:rPr>
          <w:rFonts w:ascii="Times New Roman" w:hAnsi="Times New Roman" w:cs="Times New Roman"/>
          <w:sz w:val="28"/>
          <w:szCs w:val="28"/>
        </w:rPr>
        <w:t>му</w:t>
      </w:r>
      <w:proofErr w:type="spellEnd"/>
      <w:r w:rsidRPr="00FD0F2B">
        <w:rPr>
          <w:rFonts w:ascii="Times New Roman" w:hAnsi="Times New Roman" w:cs="Times New Roman"/>
          <w:sz w:val="28"/>
          <w:szCs w:val="28"/>
        </w:rPr>
        <w:t xml:space="preserve"> виду расходов, входящему в состав репрезентативной системы расходных обязательств, в расчете на одного потребителя муниципальных услуг в i-м муниципальном районе (городском округе).</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В методике используются следующие коэффициенты удорожания стоимости предоставления муниципальных услуг:</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lastRenderedPageBreak/>
        <w:t>1) коэффициент расселения населения:</w:t>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noProof/>
          <w:position w:val="-26"/>
          <w:sz w:val="28"/>
          <w:szCs w:val="28"/>
        </w:rPr>
        <w:drawing>
          <wp:inline distT="0" distB="0" distL="0" distR="0">
            <wp:extent cx="1685925" cy="469265"/>
            <wp:effectExtent l="0" t="0" r="0" b="0"/>
            <wp:docPr id="3" name="Рисунок 3" descr="base_23776_123671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776_123671_32782"/>
                    <pic:cNvPicPr preferRelativeResize="0">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469265"/>
                    </a:xfrm>
                    <a:prstGeom prst="rect">
                      <a:avLst/>
                    </a:prstGeom>
                    <a:noFill/>
                    <a:ln>
                      <a:noFill/>
                    </a:ln>
                  </pic:spPr>
                </pic:pic>
              </a:graphicData>
            </a:graphic>
          </wp:inline>
        </w:drawing>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Кр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коэффициент расселения населения в i-м муниципальном районе (городском округе);</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УВ</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удельный вес постоянного населения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проживающего в сельских населенных пунктах с численностью населения менее 500 человек, по данным территориального органа Федеральной службы государственной статистики по Ивановской области;</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УВ - удельный вес постоянного населения Ивановской области, проживающего в сельских населенных пунктах с численностью населения менее 500 человек, по данным территориального органа Федеральной службы государственной статистики по Ивановской области;</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2) коэффициент уровня урбанизации:</w:t>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noProof/>
          <w:position w:val="-26"/>
          <w:sz w:val="28"/>
          <w:szCs w:val="28"/>
        </w:rPr>
        <w:drawing>
          <wp:inline distT="0" distB="0" distL="0" distR="0">
            <wp:extent cx="1812925" cy="469265"/>
            <wp:effectExtent l="0" t="0" r="0" b="0"/>
            <wp:docPr id="2" name="Рисунок 2" descr="base_23776_123671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776_123671_32783"/>
                    <pic:cNvPicPr preferRelativeResize="0">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2925" cy="469265"/>
                    </a:xfrm>
                    <a:prstGeom prst="rect">
                      <a:avLst/>
                    </a:prstGeom>
                    <a:noFill/>
                    <a:ln>
                      <a:noFill/>
                    </a:ln>
                  </pic:spPr>
                </pic:pic>
              </a:graphicData>
            </a:graphic>
          </wp:inline>
        </w:drawing>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Ку</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коэффициент уровня урбанизации населения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УВГ</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удельный вес городского населения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по данным территориального органа Федеральной службы государственной статистики по Ивановской области;</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УВГ - удельный вес городского населения Ивановской области по данным территориального органа Федеральной службы государственной статистики по Ивановской области;</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3) коэффициент стоимости предоставления коммунальных услуг:</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noProof/>
          <w:position w:val="-22"/>
          <w:sz w:val="28"/>
          <w:szCs w:val="28"/>
        </w:rPr>
        <w:drawing>
          <wp:inline distT="0" distB="0" distL="0" distR="0">
            <wp:extent cx="2433320" cy="429260"/>
            <wp:effectExtent l="0" t="0" r="0" b="8890"/>
            <wp:docPr id="1" name="Рисунок 1" descr="base_23776_123671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776_123671_32784"/>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3320" cy="429260"/>
                    </a:xfrm>
                    <a:prstGeom prst="rect">
                      <a:avLst/>
                    </a:prstGeom>
                    <a:noFill/>
                    <a:ln>
                      <a:noFill/>
                    </a:ln>
                  </pic:spPr>
                </pic:pic>
              </a:graphicData>
            </a:graphic>
          </wp:inline>
        </w:drawing>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Кку</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коэффициент стоимости предоставления коммунальных услуг в i-м муниципальном районе (городском округе);</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СТЭ</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средний по муниципальному району (городскому округу) тариф на тепловую энергию в теплоносителе «горячая вода» по данным Департамента энергетики и тарифов Ивановской области;</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СТЭ - средний по Ивановской области тариф на тепловую энергию в теплоносителе «горячая вода» по данным Департамента энергетики и тарифов Ивановской области.</w:t>
      </w:r>
    </w:p>
    <w:p w:rsidR="00FD0F2B" w:rsidRPr="00FD0F2B" w:rsidRDefault="00FD0F2B" w:rsidP="00FD0F2B">
      <w:pPr>
        <w:pStyle w:val="ConsPlusNormal"/>
        <w:rPr>
          <w:rFonts w:ascii="Times New Roman" w:hAnsi="Times New Roman" w:cs="Times New Roman"/>
          <w:sz w:val="28"/>
          <w:szCs w:val="28"/>
        </w:rPr>
      </w:pPr>
    </w:p>
    <w:p w:rsidR="00FD0F2B" w:rsidRPr="00FD0F2B" w:rsidRDefault="00FD0F2B" w:rsidP="00FD0F2B">
      <w:pPr>
        <w:pStyle w:val="ConsPlusTitle"/>
        <w:jc w:val="center"/>
        <w:outlineLvl w:val="2"/>
        <w:rPr>
          <w:rFonts w:ascii="Times New Roman" w:hAnsi="Times New Roman" w:cs="Times New Roman"/>
          <w:sz w:val="28"/>
          <w:szCs w:val="28"/>
        </w:rPr>
      </w:pPr>
      <w:bookmarkStart w:id="2" w:name="P532"/>
      <w:bookmarkEnd w:id="2"/>
      <w:r w:rsidRPr="00FD0F2B">
        <w:rPr>
          <w:rFonts w:ascii="Times New Roman" w:hAnsi="Times New Roman" w:cs="Times New Roman"/>
          <w:sz w:val="28"/>
          <w:szCs w:val="28"/>
        </w:rPr>
        <w:t>Вопросы местного значения, определяющие структуру</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lastRenderedPageBreak/>
        <w:t>репрезентативной системы расходных обязательств</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муниципальных районов (городских округов), и показатели</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для расчета их индекса бюджетных расходов</w:t>
      </w:r>
    </w:p>
    <w:p w:rsidR="00FD0F2B" w:rsidRPr="00FD0F2B" w:rsidRDefault="00FD0F2B" w:rsidP="00FD0F2B">
      <w:pPr>
        <w:pStyle w:val="ConsPlusNormal"/>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9"/>
        <w:gridCol w:w="2182"/>
        <w:gridCol w:w="1645"/>
        <w:gridCol w:w="2127"/>
        <w:gridCol w:w="1701"/>
      </w:tblGrid>
      <w:tr w:rsidR="00FD0F2B" w:rsidRPr="00FD0F2B" w:rsidTr="00FD0F2B">
        <w:tc>
          <w:tcPr>
            <w:tcW w:w="2269"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t>Вопросы местного значения</w:t>
            </w:r>
          </w:p>
        </w:tc>
        <w:tc>
          <w:tcPr>
            <w:tcW w:w="2182"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t>Категории условных потребителей муниципальных услуг</w:t>
            </w:r>
          </w:p>
        </w:tc>
        <w:tc>
          <w:tcPr>
            <w:tcW w:w="1645"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t>Источник информации</w:t>
            </w:r>
          </w:p>
        </w:tc>
        <w:tc>
          <w:tcPr>
            <w:tcW w:w="2127"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t>Коэффициенты удорожания стоимости предоставления муниципальных услуг</w:t>
            </w:r>
          </w:p>
        </w:tc>
        <w:tc>
          <w:tcPr>
            <w:tcW w:w="1701"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t>Доля вида расходов репрезентативной системы расходных обязательств</w:t>
            </w:r>
          </w:p>
        </w:tc>
      </w:tr>
      <w:tr w:rsidR="00FD0F2B" w:rsidRPr="00FD0F2B" w:rsidTr="00FD0F2B">
        <w:tc>
          <w:tcPr>
            <w:tcW w:w="2269"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 xml:space="preserve">Организация предоставления общедоступного бесплатного дошкольного образования на территории муниципального района (городского округа), за исключением полномочий по финансовому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отнесенных к полномочиям органов государственной власти субъектов </w:t>
            </w:r>
            <w:r w:rsidRPr="00FD0F2B">
              <w:rPr>
                <w:rFonts w:ascii="Times New Roman" w:hAnsi="Times New Roman" w:cs="Times New Roman"/>
                <w:sz w:val="28"/>
                <w:szCs w:val="28"/>
              </w:rPr>
              <w:lastRenderedPageBreak/>
              <w:t>Российской Федерации</w:t>
            </w:r>
          </w:p>
        </w:tc>
        <w:tc>
          <w:tcPr>
            <w:tcW w:w="2182"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lastRenderedPageBreak/>
              <w:t>Численность постоянного населения в возрасте от 1 до 6 лет</w:t>
            </w:r>
          </w:p>
        </w:tc>
        <w:tc>
          <w:tcPr>
            <w:tcW w:w="1645"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Территориальный орган Федеральной службы государственной статистики по Ивановской области</w:t>
            </w:r>
          </w:p>
        </w:tc>
        <w:tc>
          <w:tcPr>
            <w:tcW w:w="2127"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Коэффициент расселения населения.</w:t>
            </w:r>
          </w:p>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Коэффициент стоимости предоставления коммунальных услуг</w:t>
            </w:r>
          </w:p>
        </w:tc>
        <w:tc>
          <w:tcPr>
            <w:tcW w:w="1701"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t>21</w:t>
            </w:r>
          </w:p>
        </w:tc>
      </w:tr>
      <w:tr w:rsidR="00FD0F2B" w:rsidRPr="00FD0F2B" w:rsidTr="00FD0F2B">
        <w:tc>
          <w:tcPr>
            <w:tcW w:w="2269"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lastRenderedPageBreak/>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tc>
        <w:tc>
          <w:tcPr>
            <w:tcW w:w="2182"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Численность обучающихся в муниципальных общеобразовательных организациях по данным предварительного комплектования на 1 сентября года, предшествующего планируемому, и обучающихся в дошкольных группах в муниципальной общеобразовательной организации</w:t>
            </w:r>
          </w:p>
        </w:tc>
        <w:tc>
          <w:tcPr>
            <w:tcW w:w="1645"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Исполнительный орган государственной власти Ивановской области в сфере образования</w:t>
            </w:r>
          </w:p>
        </w:tc>
        <w:tc>
          <w:tcPr>
            <w:tcW w:w="2127"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Коэффициент расселения населения.</w:t>
            </w:r>
          </w:p>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Коэффициент стоимости предоставления коммунальных услуг</w:t>
            </w:r>
          </w:p>
        </w:tc>
        <w:tc>
          <w:tcPr>
            <w:tcW w:w="1701"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t>24</w:t>
            </w:r>
          </w:p>
        </w:tc>
      </w:tr>
      <w:tr w:rsidR="00FD0F2B" w:rsidRPr="00FD0F2B" w:rsidTr="00FD0F2B">
        <w:tc>
          <w:tcPr>
            <w:tcW w:w="2269"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Организация предоставления дополнительного образования на территории муниципального района (городского округа)</w:t>
            </w:r>
          </w:p>
        </w:tc>
        <w:tc>
          <w:tcPr>
            <w:tcW w:w="2182"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Численность постоянного населения в возрасте от 5 до 18 лет</w:t>
            </w:r>
          </w:p>
        </w:tc>
        <w:tc>
          <w:tcPr>
            <w:tcW w:w="1645"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Территориальный орган Федеральной службы государственной статистики по Ивановской области</w:t>
            </w:r>
          </w:p>
        </w:tc>
        <w:tc>
          <w:tcPr>
            <w:tcW w:w="2127"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Коэффициент уровня урбанизации.</w:t>
            </w:r>
          </w:p>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Коэффициент стоимости предоставления коммунальных услуг</w:t>
            </w:r>
          </w:p>
        </w:tc>
        <w:tc>
          <w:tcPr>
            <w:tcW w:w="1701"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t>7</w:t>
            </w:r>
          </w:p>
        </w:tc>
      </w:tr>
      <w:tr w:rsidR="00FD0F2B" w:rsidRPr="00FD0F2B" w:rsidTr="00FD0F2B">
        <w:tc>
          <w:tcPr>
            <w:tcW w:w="2269"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 xml:space="preserve">Организация библиотечного обслуживания </w:t>
            </w:r>
            <w:r w:rsidRPr="00FD0F2B">
              <w:rPr>
                <w:rFonts w:ascii="Times New Roman" w:hAnsi="Times New Roman" w:cs="Times New Roman"/>
                <w:sz w:val="28"/>
                <w:szCs w:val="28"/>
              </w:rPr>
              <w:lastRenderedPageBreak/>
              <w:t>населения, комплектование и обеспечение сохранности библиотечных фондов библиотек, создание условий для организации досуга и обеспечения жителей услугами организаций культуры</w:t>
            </w:r>
          </w:p>
        </w:tc>
        <w:tc>
          <w:tcPr>
            <w:tcW w:w="2182"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lastRenderedPageBreak/>
              <w:t>Численность постоянного населения</w:t>
            </w:r>
          </w:p>
        </w:tc>
        <w:tc>
          <w:tcPr>
            <w:tcW w:w="1645"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Территориальный орган Федерально</w:t>
            </w:r>
            <w:r w:rsidRPr="00FD0F2B">
              <w:rPr>
                <w:rFonts w:ascii="Times New Roman" w:hAnsi="Times New Roman" w:cs="Times New Roman"/>
                <w:sz w:val="28"/>
                <w:szCs w:val="28"/>
              </w:rPr>
              <w:lastRenderedPageBreak/>
              <w:t>й службы государственной статистики по Ивановской области</w:t>
            </w:r>
          </w:p>
        </w:tc>
        <w:tc>
          <w:tcPr>
            <w:tcW w:w="2127"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lastRenderedPageBreak/>
              <w:t>Коэффициент расселения населения.</w:t>
            </w:r>
          </w:p>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lastRenderedPageBreak/>
              <w:t>Коэффициент стоимости предоставления коммунальных услуг</w:t>
            </w:r>
          </w:p>
        </w:tc>
        <w:tc>
          <w:tcPr>
            <w:tcW w:w="1701"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lastRenderedPageBreak/>
              <w:t>5</w:t>
            </w:r>
          </w:p>
        </w:tc>
      </w:tr>
      <w:tr w:rsidR="00FD0F2B" w:rsidRPr="00FD0F2B" w:rsidTr="00FD0F2B">
        <w:tc>
          <w:tcPr>
            <w:tcW w:w="2269"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lastRenderedPageBreak/>
              <w:t>Иные вопросы местного значения</w:t>
            </w:r>
          </w:p>
        </w:tc>
        <w:tc>
          <w:tcPr>
            <w:tcW w:w="2182"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Численность постоянного населения</w:t>
            </w:r>
          </w:p>
        </w:tc>
        <w:tc>
          <w:tcPr>
            <w:tcW w:w="1645"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Территориальный орган Федеральной службы государственной статистики по Ивановской области</w:t>
            </w:r>
          </w:p>
        </w:tc>
        <w:tc>
          <w:tcPr>
            <w:tcW w:w="2127" w:type="dxa"/>
          </w:tcPr>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Коэффициент расселения населения.</w:t>
            </w:r>
          </w:p>
          <w:p w:rsidR="00FD0F2B" w:rsidRPr="00FD0F2B" w:rsidRDefault="00FD0F2B" w:rsidP="00041D37">
            <w:pPr>
              <w:pStyle w:val="ConsPlusNormal"/>
              <w:jc w:val="both"/>
              <w:rPr>
                <w:rFonts w:ascii="Times New Roman" w:hAnsi="Times New Roman" w:cs="Times New Roman"/>
                <w:sz w:val="28"/>
                <w:szCs w:val="28"/>
              </w:rPr>
            </w:pPr>
            <w:r w:rsidRPr="00FD0F2B">
              <w:rPr>
                <w:rFonts w:ascii="Times New Roman" w:hAnsi="Times New Roman" w:cs="Times New Roman"/>
                <w:sz w:val="28"/>
                <w:szCs w:val="28"/>
              </w:rPr>
              <w:t>Коэффициент стоимости предоставления коммунальных услуг</w:t>
            </w:r>
          </w:p>
        </w:tc>
        <w:tc>
          <w:tcPr>
            <w:tcW w:w="1701" w:type="dxa"/>
          </w:tcPr>
          <w:p w:rsidR="00FD0F2B" w:rsidRPr="00FD0F2B" w:rsidRDefault="00FD0F2B" w:rsidP="00041D37">
            <w:pPr>
              <w:pStyle w:val="ConsPlusNormal"/>
              <w:jc w:val="center"/>
              <w:rPr>
                <w:rFonts w:ascii="Times New Roman" w:hAnsi="Times New Roman" w:cs="Times New Roman"/>
                <w:sz w:val="28"/>
                <w:szCs w:val="28"/>
              </w:rPr>
            </w:pPr>
            <w:r w:rsidRPr="00FD0F2B">
              <w:rPr>
                <w:rFonts w:ascii="Times New Roman" w:hAnsi="Times New Roman" w:cs="Times New Roman"/>
                <w:sz w:val="28"/>
                <w:szCs w:val="28"/>
              </w:rPr>
              <w:t>43</w:t>
            </w:r>
          </w:p>
        </w:tc>
      </w:tr>
    </w:tbl>
    <w:p w:rsidR="00FD0F2B" w:rsidRPr="00FD0F2B" w:rsidRDefault="00FD0F2B" w:rsidP="00FD0F2B">
      <w:pPr>
        <w:pStyle w:val="ConsPlusNormal"/>
        <w:ind w:firstLine="540"/>
        <w:jc w:val="both"/>
        <w:rPr>
          <w:rFonts w:ascii="Times New Roman" w:hAnsi="Times New Roman" w:cs="Times New Roman"/>
          <w:sz w:val="28"/>
          <w:szCs w:val="28"/>
        </w:rPr>
      </w:pPr>
    </w:p>
    <w:p w:rsidR="00FD0F2B" w:rsidRDefault="00FD0F2B" w:rsidP="00FD0F2B">
      <w:pPr>
        <w:pStyle w:val="ConsPlusNormal"/>
        <w:ind w:firstLine="709"/>
        <w:jc w:val="center"/>
        <w:rPr>
          <w:rFonts w:ascii="Times New Roman" w:hAnsi="Times New Roman" w:cs="Times New Roman"/>
          <w:b/>
          <w:sz w:val="28"/>
          <w:szCs w:val="28"/>
        </w:rPr>
      </w:pPr>
      <w:r w:rsidRPr="00FD0F2B">
        <w:rPr>
          <w:rFonts w:ascii="Times New Roman" w:hAnsi="Times New Roman" w:cs="Times New Roman"/>
          <w:b/>
          <w:sz w:val="28"/>
          <w:szCs w:val="28"/>
        </w:rPr>
        <w:t>5.1. Порядок расчета дотаций на 2019 год, отражающих отдельные показатели (условия)</w:t>
      </w:r>
    </w:p>
    <w:p w:rsidR="00FD0F2B" w:rsidRPr="00FD0F2B" w:rsidRDefault="00FD0F2B" w:rsidP="00FD0F2B">
      <w:pPr>
        <w:pStyle w:val="ConsPlusNormal"/>
        <w:ind w:firstLine="709"/>
        <w:jc w:val="center"/>
        <w:rPr>
          <w:rFonts w:ascii="Times New Roman" w:hAnsi="Times New Roman" w:cs="Times New Roman"/>
          <w:b/>
          <w:sz w:val="28"/>
          <w:szCs w:val="28"/>
        </w:rPr>
      </w:pPr>
    </w:p>
    <w:p w:rsidR="00FD0F2B" w:rsidRPr="00FD0F2B" w:rsidRDefault="00FD0F2B" w:rsidP="00FD0F2B">
      <w:pPr>
        <w:autoSpaceDE w:val="0"/>
        <w:autoSpaceDN w:val="0"/>
        <w:adjustRightInd w:val="0"/>
        <w:ind w:firstLine="709"/>
        <w:jc w:val="both"/>
        <w:rPr>
          <w:sz w:val="28"/>
          <w:szCs w:val="28"/>
        </w:rPr>
      </w:pPr>
      <w:r w:rsidRPr="00FD0F2B">
        <w:rPr>
          <w:sz w:val="28"/>
          <w:szCs w:val="28"/>
        </w:rPr>
        <w:t>1. Объем дотаций, отражающих отдельные показатели (условия) определяется по следующей формуле:</w:t>
      </w:r>
    </w:p>
    <w:p w:rsid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gramStart"/>
      <w:r w:rsidRPr="00FD0F2B">
        <w:rPr>
          <w:rFonts w:ascii="Times New Roman" w:hAnsi="Times New Roman" w:cs="Times New Roman"/>
          <w:sz w:val="28"/>
          <w:szCs w:val="28"/>
        </w:rPr>
        <w:t>Д(</w:t>
      </w:r>
      <w:proofErr w:type="gramEnd"/>
      <w:r w:rsidRPr="00FD0F2B">
        <w:rPr>
          <w:rFonts w:ascii="Times New Roman" w:hAnsi="Times New Roman" w:cs="Times New Roman"/>
          <w:sz w:val="28"/>
          <w:szCs w:val="28"/>
        </w:rPr>
        <w:t>ОП) = Д</w:t>
      </w:r>
      <w:r w:rsidRPr="00FD0F2B">
        <w:rPr>
          <w:rFonts w:ascii="Times New Roman" w:hAnsi="Times New Roman" w:cs="Times New Roman"/>
          <w:sz w:val="28"/>
          <w:szCs w:val="28"/>
          <w:vertAlign w:val="subscript"/>
        </w:rPr>
        <w:t>(ч)</w:t>
      </w:r>
      <w:r w:rsidRPr="00FD0F2B">
        <w:rPr>
          <w:rFonts w:ascii="Times New Roman" w:hAnsi="Times New Roman" w:cs="Times New Roman"/>
          <w:sz w:val="28"/>
          <w:szCs w:val="28"/>
        </w:rPr>
        <w:t xml:space="preserve"> + Д</w:t>
      </w:r>
      <w:r w:rsidRPr="00FD0F2B">
        <w:rPr>
          <w:rFonts w:ascii="Times New Roman" w:hAnsi="Times New Roman" w:cs="Times New Roman"/>
          <w:sz w:val="28"/>
          <w:szCs w:val="28"/>
          <w:vertAlign w:val="subscript"/>
        </w:rPr>
        <w:t xml:space="preserve">(д), </w:t>
      </w:r>
      <w:r w:rsidRPr="00FD0F2B">
        <w:rPr>
          <w:rFonts w:ascii="Times New Roman" w:hAnsi="Times New Roman" w:cs="Times New Roman"/>
          <w:sz w:val="28"/>
          <w:szCs w:val="28"/>
        </w:rPr>
        <w:t xml:space="preserve"> где                                           (1)</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Д(ОП) – объем дотаций, отражающий отдельные показатели (условия);</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Д</w:t>
      </w:r>
      <w:r w:rsidRPr="00FD0F2B">
        <w:rPr>
          <w:rFonts w:ascii="Times New Roman" w:hAnsi="Times New Roman" w:cs="Times New Roman"/>
          <w:sz w:val="28"/>
          <w:szCs w:val="28"/>
          <w:vertAlign w:val="subscript"/>
        </w:rPr>
        <w:t xml:space="preserve">(ч) </w:t>
      </w:r>
      <w:r w:rsidRPr="00FD0F2B">
        <w:rPr>
          <w:rFonts w:ascii="Times New Roman" w:hAnsi="Times New Roman" w:cs="Times New Roman"/>
          <w:sz w:val="28"/>
          <w:szCs w:val="28"/>
        </w:rPr>
        <w:t xml:space="preserve">– дотации, отражающие сокращение численности постоянного населения муниципального района (городского округа);   </w:t>
      </w:r>
    </w:p>
    <w:p w:rsidR="00FD0F2B" w:rsidRPr="00FD0F2B" w:rsidRDefault="00FD0F2B" w:rsidP="00FD0F2B">
      <w:pPr>
        <w:pStyle w:val="ConsPlusNormal"/>
        <w:ind w:firstLine="709"/>
        <w:jc w:val="both"/>
        <w:rPr>
          <w:rFonts w:ascii="Times New Roman" w:hAnsi="Times New Roman" w:cs="Times New Roman"/>
          <w:sz w:val="28"/>
          <w:szCs w:val="28"/>
        </w:rPr>
      </w:pPr>
      <w:proofErr w:type="gramStart"/>
      <w:r w:rsidRPr="00FD0F2B">
        <w:rPr>
          <w:rFonts w:ascii="Times New Roman" w:hAnsi="Times New Roman" w:cs="Times New Roman"/>
          <w:sz w:val="28"/>
          <w:szCs w:val="28"/>
        </w:rPr>
        <w:t>Д</w:t>
      </w:r>
      <w:r w:rsidRPr="00FD0F2B">
        <w:rPr>
          <w:rFonts w:ascii="Times New Roman" w:hAnsi="Times New Roman" w:cs="Times New Roman"/>
          <w:sz w:val="28"/>
          <w:szCs w:val="28"/>
          <w:vertAlign w:val="subscript"/>
        </w:rPr>
        <w:t>(</w:t>
      </w:r>
      <w:proofErr w:type="gramEnd"/>
      <w:r w:rsidRPr="00FD0F2B">
        <w:rPr>
          <w:rFonts w:ascii="Times New Roman" w:hAnsi="Times New Roman" w:cs="Times New Roman"/>
          <w:sz w:val="28"/>
          <w:szCs w:val="28"/>
          <w:vertAlign w:val="subscript"/>
        </w:rPr>
        <w:t xml:space="preserve">д)  </w:t>
      </w:r>
      <w:r w:rsidRPr="00FD0F2B">
        <w:rPr>
          <w:rFonts w:ascii="Times New Roman" w:hAnsi="Times New Roman" w:cs="Times New Roman"/>
          <w:sz w:val="28"/>
          <w:szCs w:val="28"/>
        </w:rPr>
        <w:t>- дотации, отражающие снижение стабильности объемов безвозмездной и безвозвратной помощи местным бюджетам.</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Объем дотаций, отражающих сокращение численности постоянного населения </w:t>
      </w:r>
      <w:proofErr w:type="spellStart"/>
      <w:r w:rsidRPr="00FD0F2B">
        <w:rPr>
          <w:rFonts w:ascii="Times New Roman" w:hAnsi="Times New Roman" w:cs="Times New Roman"/>
          <w:sz w:val="28"/>
          <w:szCs w:val="28"/>
          <w:lang w:val="en-US"/>
        </w:rPr>
        <w:t>i</w:t>
      </w:r>
      <w:proofErr w:type="spellEnd"/>
      <w:r w:rsidRPr="00FD0F2B">
        <w:rPr>
          <w:rFonts w:ascii="Times New Roman" w:hAnsi="Times New Roman" w:cs="Times New Roman"/>
          <w:sz w:val="28"/>
          <w:szCs w:val="28"/>
        </w:rPr>
        <w:t xml:space="preserve"> - ого муниципального района (городского округа) (Д</w:t>
      </w:r>
      <w:proofErr w:type="spellStart"/>
      <w:r w:rsidRPr="00FD0F2B">
        <w:rPr>
          <w:rFonts w:ascii="Times New Roman" w:hAnsi="Times New Roman" w:cs="Times New Roman"/>
          <w:sz w:val="28"/>
          <w:szCs w:val="28"/>
          <w:vertAlign w:val="subscript"/>
          <w:lang w:val="en-US"/>
        </w:rPr>
        <w:t>i</w:t>
      </w:r>
      <w:proofErr w:type="spellEnd"/>
      <w:r w:rsidRPr="00FD0F2B">
        <w:rPr>
          <w:rFonts w:ascii="Times New Roman" w:hAnsi="Times New Roman" w:cs="Times New Roman"/>
          <w:sz w:val="28"/>
          <w:szCs w:val="28"/>
          <w:vertAlign w:val="subscript"/>
        </w:rPr>
        <w:t>(ч)</w:t>
      </w:r>
      <w:r w:rsidRPr="00FD0F2B">
        <w:rPr>
          <w:rFonts w:ascii="Times New Roman" w:hAnsi="Times New Roman" w:cs="Times New Roman"/>
          <w:sz w:val="28"/>
          <w:szCs w:val="28"/>
        </w:rPr>
        <w:t>), определяется по формуле:</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  </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vertAlign w:val="subscript"/>
        </w:rPr>
        <w:lastRenderedPageBreak/>
        <w:t xml:space="preserve"> </w:t>
      </w:r>
      <w:r w:rsidRPr="00FD0F2B">
        <w:rPr>
          <w:rFonts w:ascii="Times New Roman" w:hAnsi="Times New Roman" w:cs="Times New Roman"/>
          <w:sz w:val="28"/>
          <w:szCs w:val="28"/>
        </w:rPr>
        <w:t>Д</w:t>
      </w:r>
      <w:proofErr w:type="spellStart"/>
      <w:proofErr w:type="gramStart"/>
      <w:r w:rsidRPr="00FD0F2B">
        <w:rPr>
          <w:rFonts w:ascii="Times New Roman" w:hAnsi="Times New Roman" w:cs="Times New Roman"/>
          <w:sz w:val="28"/>
          <w:szCs w:val="28"/>
          <w:vertAlign w:val="subscript"/>
          <w:lang w:val="en-US"/>
        </w:rPr>
        <w:t>i</w:t>
      </w:r>
      <w:proofErr w:type="spellEnd"/>
      <w:proofErr w:type="gramEnd"/>
      <w:r w:rsidRPr="00FD0F2B">
        <w:rPr>
          <w:rFonts w:ascii="Times New Roman" w:hAnsi="Times New Roman" w:cs="Times New Roman"/>
          <w:sz w:val="28"/>
          <w:szCs w:val="28"/>
          <w:vertAlign w:val="subscript"/>
        </w:rPr>
        <w:t xml:space="preserve">(ч) </w:t>
      </w:r>
      <w:r w:rsidRPr="00FD0F2B">
        <w:rPr>
          <w:rFonts w:ascii="Times New Roman" w:hAnsi="Times New Roman" w:cs="Times New Roman"/>
          <w:sz w:val="28"/>
          <w:szCs w:val="28"/>
        </w:rPr>
        <w:t xml:space="preserve">= </w:t>
      </w:r>
      <w:r w:rsidRPr="00FD0F2B">
        <w:rPr>
          <w:rFonts w:ascii="Times New Roman" w:hAnsi="Times New Roman" w:cs="Times New Roman"/>
          <w:sz w:val="28"/>
          <w:szCs w:val="28"/>
          <w:lang w:val="en-US"/>
        </w:rPr>
        <w:t>V</w:t>
      </w:r>
      <w:r w:rsidRPr="00FD0F2B">
        <w:rPr>
          <w:rFonts w:ascii="Times New Roman" w:hAnsi="Times New Roman" w:cs="Times New Roman"/>
          <w:sz w:val="28"/>
          <w:szCs w:val="28"/>
        </w:rPr>
        <w:t xml:space="preserve"> × </w:t>
      </w:r>
      <w:r w:rsidRPr="00FD0F2B">
        <w:rPr>
          <w:rFonts w:ascii="Times New Roman" w:hAnsi="Times New Roman" w:cs="Times New Roman"/>
          <w:sz w:val="28"/>
          <w:szCs w:val="28"/>
          <w:lang w:val="en-US"/>
        </w:rPr>
        <w:t>K</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vertAlign w:val="subscript"/>
        </w:rPr>
        <w:t>(ч)</w:t>
      </w:r>
      <w:r w:rsidRPr="00FD0F2B">
        <w:rPr>
          <w:rFonts w:ascii="Times New Roman" w:hAnsi="Times New Roman" w:cs="Times New Roman"/>
          <w:sz w:val="28"/>
          <w:szCs w:val="28"/>
        </w:rPr>
        <w:t>, где                     (2)</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lang w:val="en-US"/>
        </w:rPr>
        <w:t>V</w:t>
      </w:r>
      <w:r w:rsidRPr="00FD0F2B">
        <w:rPr>
          <w:rFonts w:ascii="Times New Roman" w:hAnsi="Times New Roman" w:cs="Times New Roman"/>
          <w:sz w:val="28"/>
          <w:szCs w:val="28"/>
        </w:rPr>
        <w:t xml:space="preserve"> – </w:t>
      </w:r>
      <w:proofErr w:type="gramStart"/>
      <w:r w:rsidRPr="00FD0F2B">
        <w:rPr>
          <w:rFonts w:ascii="Times New Roman" w:hAnsi="Times New Roman" w:cs="Times New Roman"/>
          <w:sz w:val="28"/>
          <w:szCs w:val="28"/>
        </w:rPr>
        <w:t>объем</w:t>
      </w:r>
      <w:proofErr w:type="gramEnd"/>
      <w:r w:rsidRPr="00FD0F2B">
        <w:rPr>
          <w:rFonts w:ascii="Times New Roman" w:hAnsi="Times New Roman" w:cs="Times New Roman"/>
          <w:sz w:val="28"/>
          <w:szCs w:val="28"/>
        </w:rPr>
        <w:t xml:space="preserve"> средств, подлежащий распределению;</w:t>
      </w:r>
    </w:p>
    <w:p w:rsidR="00FD0F2B" w:rsidRPr="00FD0F2B" w:rsidRDefault="00FD0F2B" w:rsidP="00FD0F2B">
      <w:pPr>
        <w:pStyle w:val="ConsPlusNormal"/>
        <w:ind w:firstLine="709"/>
        <w:jc w:val="both"/>
        <w:rPr>
          <w:rFonts w:ascii="Times New Roman" w:hAnsi="Times New Roman" w:cs="Times New Roman"/>
          <w:sz w:val="28"/>
          <w:szCs w:val="28"/>
        </w:rPr>
      </w:pPr>
      <w:proofErr w:type="gramStart"/>
      <w:r w:rsidRPr="00FD0F2B">
        <w:rPr>
          <w:rFonts w:ascii="Times New Roman" w:hAnsi="Times New Roman" w:cs="Times New Roman"/>
          <w:sz w:val="28"/>
          <w:szCs w:val="28"/>
          <w:lang w:val="en-US"/>
        </w:rPr>
        <w:t>K</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vertAlign w:val="subscript"/>
        </w:rPr>
        <w:t>(</w:t>
      </w:r>
      <w:proofErr w:type="gramEnd"/>
      <w:r w:rsidRPr="00FD0F2B">
        <w:rPr>
          <w:rFonts w:ascii="Times New Roman" w:hAnsi="Times New Roman" w:cs="Times New Roman"/>
          <w:sz w:val="28"/>
          <w:szCs w:val="28"/>
          <w:vertAlign w:val="subscript"/>
        </w:rPr>
        <w:t xml:space="preserve">ч) </w:t>
      </w:r>
      <w:r w:rsidRPr="00FD0F2B">
        <w:rPr>
          <w:rFonts w:ascii="Times New Roman" w:hAnsi="Times New Roman" w:cs="Times New Roman"/>
          <w:sz w:val="28"/>
          <w:szCs w:val="28"/>
        </w:rPr>
        <w:t xml:space="preserve">– коэффициент сокращения численности постоянного населения </w:t>
      </w:r>
      <w:proofErr w:type="spellStart"/>
      <w:r w:rsidRPr="00FD0F2B">
        <w:rPr>
          <w:rFonts w:ascii="Times New Roman" w:hAnsi="Times New Roman" w:cs="Times New Roman"/>
          <w:sz w:val="28"/>
          <w:szCs w:val="28"/>
          <w:lang w:val="en-US"/>
        </w:rPr>
        <w:t>i</w:t>
      </w:r>
      <w:proofErr w:type="spellEnd"/>
      <w:r w:rsidRPr="00FD0F2B">
        <w:rPr>
          <w:rFonts w:ascii="Times New Roman" w:hAnsi="Times New Roman" w:cs="Times New Roman"/>
          <w:sz w:val="28"/>
          <w:szCs w:val="28"/>
        </w:rPr>
        <w:t xml:space="preserve"> - ого муниципального района (городского округа) определяется по формуле:</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       </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          </w:t>
      </w:r>
      <w:proofErr w:type="gramStart"/>
      <w:r w:rsidRPr="00FD0F2B">
        <w:rPr>
          <w:rFonts w:ascii="Times New Roman" w:hAnsi="Times New Roman" w:cs="Times New Roman"/>
          <w:sz w:val="28"/>
          <w:szCs w:val="28"/>
          <w:lang w:val="en-US"/>
        </w:rPr>
        <w:t>N</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vertAlign w:val="subscript"/>
        </w:rPr>
        <w:t>(</w:t>
      </w:r>
      <w:proofErr w:type="gramEnd"/>
      <w:r w:rsidRPr="00FD0F2B">
        <w:rPr>
          <w:rFonts w:ascii="Times New Roman" w:hAnsi="Times New Roman" w:cs="Times New Roman"/>
          <w:sz w:val="28"/>
          <w:szCs w:val="28"/>
          <w:vertAlign w:val="subscript"/>
        </w:rPr>
        <w:t>2018)</w:t>
      </w:r>
      <w:r w:rsidRPr="00FD0F2B">
        <w:rPr>
          <w:rFonts w:ascii="Times New Roman" w:hAnsi="Times New Roman" w:cs="Times New Roman"/>
          <w:sz w:val="28"/>
          <w:szCs w:val="28"/>
        </w:rPr>
        <w:t xml:space="preserve"> - </w:t>
      </w:r>
      <w:r w:rsidRPr="00FD0F2B">
        <w:rPr>
          <w:rFonts w:ascii="Times New Roman" w:hAnsi="Times New Roman" w:cs="Times New Roman"/>
          <w:sz w:val="28"/>
          <w:szCs w:val="28"/>
          <w:lang w:val="en-US"/>
        </w:rPr>
        <w:t>N</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vertAlign w:val="subscript"/>
        </w:rPr>
        <w:t>(2017)</w:t>
      </w:r>
    </w:p>
    <w:p w:rsidR="00FD0F2B" w:rsidRPr="00FD0F2B" w:rsidRDefault="00FD0F2B" w:rsidP="00FD0F2B">
      <w:pPr>
        <w:pStyle w:val="ConsPlusNormal"/>
        <w:ind w:firstLine="709"/>
        <w:jc w:val="both"/>
        <w:rPr>
          <w:rFonts w:ascii="Times New Roman" w:hAnsi="Times New Roman" w:cs="Times New Roman"/>
          <w:sz w:val="28"/>
          <w:szCs w:val="28"/>
        </w:rPr>
      </w:pPr>
      <w:proofErr w:type="gramStart"/>
      <w:r w:rsidRPr="00FD0F2B">
        <w:rPr>
          <w:rFonts w:ascii="Times New Roman" w:hAnsi="Times New Roman" w:cs="Times New Roman"/>
          <w:sz w:val="28"/>
          <w:szCs w:val="28"/>
          <w:lang w:val="en-US"/>
        </w:rPr>
        <w:t>K</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vertAlign w:val="subscript"/>
        </w:rPr>
        <w:t>(</w:t>
      </w:r>
      <w:proofErr w:type="gramEnd"/>
      <w:r w:rsidRPr="00FD0F2B">
        <w:rPr>
          <w:rFonts w:ascii="Times New Roman" w:hAnsi="Times New Roman" w:cs="Times New Roman"/>
          <w:sz w:val="28"/>
          <w:szCs w:val="28"/>
          <w:vertAlign w:val="subscript"/>
        </w:rPr>
        <w:t>ч)</w:t>
      </w:r>
      <w:r w:rsidRPr="00FD0F2B">
        <w:rPr>
          <w:rFonts w:ascii="Times New Roman" w:hAnsi="Times New Roman" w:cs="Times New Roman"/>
          <w:sz w:val="28"/>
          <w:szCs w:val="28"/>
        </w:rPr>
        <w:t xml:space="preserve"> = -----------------------</w:t>
      </w:r>
      <w:r>
        <w:rPr>
          <w:rFonts w:ascii="Times New Roman" w:hAnsi="Times New Roman" w:cs="Times New Roman"/>
          <w:sz w:val="28"/>
          <w:szCs w:val="28"/>
        </w:rPr>
        <w:t>,</w:t>
      </w:r>
      <w:r w:rsidRPr="00FD0F2B">
        <w:rPr>
          <w:rFonts w:ascii="Times New Roman" w:hAnsi="Times New Roman" w:cs="Times New Roman"/>
          <w:sz w:val="28"/>
          <w:szCs w:val="28"/>
        </w:rPr>
        <w:t xml:space="preserve">  где          (3)</w:t>
      </w:r>
    </w:p>
    <w:p w:rsidR="00FD0F2B" w:rsidRPr="00FD0F2B" w:rsidRDefault="00FD0F2B" w:rsidP="00FD0F2B">
      <w:pPr>
        <w:pStyle w:val="ConsPlusNormal"/>
        <w:ind w:firstLine="709"/>
        <w:jc w:val="both"/>
        <w:rPr>
          <w:rFonts w:ascii="Times New Roman" w:hAnsi="Times New Roman" w:cs="Times New Roman"/>
          <w:sz w:val="28"/>
          <w:szCs w:val="28"/>
          <w:vertAlign w:val="subscript"/>
        </w:rPr>
      </w:pPr>
      <w:r w:rsidRPr="00FD0F2B">
        <w:rPr>
          <w:rFonts w:ascii="Times New Roman" w:hAnsi="Times New Roman" w:cs="Times New Roman"/>
          <w:sz w:val="28"/>
          <w:szCs w:val="28"/>
        </w:rPr>
        <w:t xml:space="preserve">          ∑</w:t>
      </w:r>
      <w:r w:rsidRPr="00FD0F2B">
        <w:rPr>
          <w:rFonts w:ascii="Times New Roman" w:hAnsi="Times New Roman" w:cs="Times New Roman"/>
          <w:sz w:val="28"/>
          <w:szCs w:val="28"/>
          <w:lang w:val="en-US"/>
        </w:rPr>
        <w:t>N</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vertAlign w:val="subscript"/>
        </w:rPr>
        <w:t>(2018)</w:t>
      </w:r>
      <w:r w:rsidRPr="00FD0F2B">
        <w:rPr>
          <w:rFonts w:ascii="Times New Roman" w:hAnsi="Times New Roman" w:cs="Times New Roman"/>
          <w:sz w:val="28"/>
          <w:szCs w:val="28"/>
        </w:rPr>
        <w:t xml:space="preserve"> - ∑</w:t>
      </w:r>
      <w:r w:rsidRPr="00FD0F2B">
        <w:rPr>
          <w:rFonts w:ascii="Times New Roman" w:hAnsi="Times New Roman" w:cs="Times New Roman"/>
          <w:sz w:val="28"/>
          <w:szCs w:val="28"/>
          <w:lang w:val="en-US"/>
        </w:rPr>
        <w:t>N</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vertAlign w:val="subscript"/>
        </w:rPr>
        <w:t>(2017)</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              </w:t>
      </w:r>
      <w:proofErr w:type="spellStart"/>
      <w:proofErr w:type="gramStart"/>
      <w:r w:rsidRPr="00FD0F2B">
        <w:rPr>
          <w:rFonts w:ascii="Times New Roman" w:hAnsi="Times New Roman" w:cs="Times New Roman"/>
          <w:sz w:val="28"/>
          <w:szCs w:val="28"/>
          <w:lang w:val="en-US"/>
        </w:rPr>
        <w:t>i</w:t>
      </w:r>
      <w:proofErr w:type="spellEnd"/>
      <w:proofErr w:type="gramEnd"/>
      <w:r w:rsidRPr="00FD0F2B">
        <w:rPr>
          <w:rFonts w:ascii="Times New Roman" w:hAnsi="Times New Roman" w:cs="Times New Roman"/>
          <w:sz w:val="28"/>
          <w:szCs w:val="28"/>
        </w:rPr>
        <w:t xml:space="preserve">               </w:t>
      </w:r>
      <w:proofErr w:type="spellStart"/>
      <w:r w:rsidRPr="00FD0F2B">
        <w:rPr>
          <w:rFonts w:ascii="Times New Roman" w:hAnsi="Times New Roman" w:cs="Times New Roman"/>
          <w:sz w:val="28"/>
          <w:szCs w:val="28"/>
          <w:lang w:val="en-US"/>
        </w:rPr>
        <w:t>i</w:t>
      </w:r>
      <w:proofErr w:type="spellEnd"/>
      <w:r w:rsidRPr="00FD0F2B">
        <w:rPr>
          <w:rFonts w:ascii="Times New Roman" w:hAnsi="Times New Roman" w:cs="Times New Roman"/>
          <w:sz w:val="28"/>
          <w:szCs w:val="28"/>
        </w:rPr>
        <w:t xml:space="preserve">   </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  </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lang w:val="en-US"/>
        </w:rPr>
        <w:t>N</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vertAlign w:val="subscript"/>
        </w:rPr>
        <w:t xml:space="preserve">(2017),  </w:t>
      </w:r>
      <w:r w:rsidRPr="00FD0F2B">
        <w:rPr>
          <w:rFonts w:ascii="Times New Roman" w:hAnsi="Times New Roman" w:cs="Times New Roman"/>
          <w:sz w:val="28"/>
          <w:szCs w:val="28"/>
          <w:lang w:val="en-US"/>
        </w:rPr>
        <w:t>N</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vertAlign w:val="subscript"/>
        </w:rPr>
        <w:t xml:space="preserve">(2018),  </w:t>
      </w:r>
      <w:r w:rsidRPr="00FD0F2B">
        <w:rPr>
          <w:rFonts w:ascii="Times New Roman" w:hAnsi="Times New Roman" w:cs="Times New Roman"/>
          <w:sz w:val="28"/>
          <w:szCs w:val="28"/>
        </w:rPr>
        <w:t xml:space="preserve">– численность постоянного населения </w:t>
      </w:r>
      <w:proofErr w:type="spellStart"/>
      <w:r w:rsidRPr="00FD0F2B">
        <w:rPr>
          <w:rFonts w:ascii="Times New Roman" w:hAnsi="Times New Roman" w:cs="Times New Roman"/>
          <w:sz w:val="28"/>
          <w:szCs w:val="28"/>
          <w:lang w:val="en-US"/>
        </w:rPr>
        <w:t>i</w:t>
      </w:r>
      <w:proofErr w:type="spellEnd"/>
      <w:r w:rsidRPr="00FD0F2B">
        <w:rPr>
          <w:rFonts w:ascii="Times New Roman" w:hAnsi="Times New Roman" w:cs="Times New Roman"/>
          <w:sz w:val="28"/>
          <w:szCs w:val="28"/>
        </w:rPr>
        <w:t xml:space="preserve"> - ого муниципального района (городского округа) по данным территориального органа Федеральной службы государственной статистики по Ивановской области на 1 января 2017 года и на 1 января 2018 года соответственно.</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Дотации, отражающие снижение стабильности объемов безвозмездной и безвозвратной помощи местным бюджетам распределяются между муниципальными районами (городскими округами), у которых снижение дотации на выравнивание бюджетной обеспеченности на 2019 год, определенной исходя из установленного критерия выравнивания бюджетной обеспеченности с учетом положения абзаца третьего пункта 6 статьи 138 Бюджетного кодекса Российской Федерации и дотации, отражающей сокращение численности постоянного населения, по отношению к уровню текущего года составляет более 5 процентов.   </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2. Уровень расчетной бюджетной обеспеченности муниципальных районов (городских округов) после распределения дотаций определяется по формуле:</w:t>
      </w:r>
    </w:p>
    <w:p w:rsidR="00FD0F2B" w:rsidRPr="00FD0F2B" w:rsidRDefault="00FD0F2B" w:rsidP="00FD0F2B">
      <w:pPr>
        <w:pStyle w:val="ConsPlusNormal"/>
        <w:ind w:firstLine="709"/>
        <w:jc w:val="both"/>
        <w:rPr>
          <w:rFonts w:ascii="Times New Roman" w:hAnsi="Times New Roman" w:cs="Times New Roman"/>
          <w:sz w:val="28"/>
          <w:szCs w:val="28"/>
          <w:vertAlign w:val="subscript"/>
        </w:rPr>
      </w:pPr>
      <w:r w:rsidRPr="00FD0F2B">
        <w:rPr>
          <w:rFonts w:ascii="Times New Roman" w:hAnsi="Times New Roman" w:cs="Times New Roman"/>
          <w:sz w:val="28"/>
          <w:szCs w:val="28"/>
        </w:rPr>
        <w:t xml:space="preserve">                          ФФПР</w:t>
      </w:r>
      <w:proofErr w:type="spellStart"/>
      <w:r w:rsidRPr="00FD0F2B">
        <w:rPr>
          <w:rFonts w:ascii="Times New Roman" w:hAnsi="Times New Roman" w:cs="Times New Roman"/>
          <w:sz w:val="28"/>
          <w:szCs w:val="28"/>
          <w:vertAlign w:val="subscript"/>
          <w:lang w:val="en-US"/>
        </w:rPr>
        <w:t>i</w:t>
      </w:r>
      <w:proofErr w:type="spellEnd"/>
      <w:r w:rsidRPr="00FD0F2B">
        <w:rPr>
          <w:rFonts w:ascii="Times New Roman" w:hAnsi="Times New Roman" w:cs="Times New Roman"/>
          <w:sz w:val="28"/>
          <w:szCs w:val="28"/>
          <w:vertAlign w:val="subscript"/>
        </w:rPr>
        <w:t xml:space="preserve">                       </w:t>
      </w:r>
      <w:r w:rsidRPr="00FD0F2B">
        <w:rPr>
          <w:rFonts w:ascii="Times New Roman" w:hAnsi="Times New Roman" w:cs="Times New Roman"/>
          <w:sz w:val="28"/>
          <w:szCs w:val="28"/>
        </w:rPr>
        <w:t>∑</w:t>
      </w:r>
      <w:r w:rsidRPr="00FD0F2B">
        <w:rPr>
          <w:rFonts w:ascii="Times New Roman" w:hAnsi="Times New Roman" w:cs="Times New Roman"/>
          <w:sz w:val="28"/>
          <w:szCs w:val="28"/>
          <w:vertAlign w:val="subscript"/>
        </w:rPr>
        <w:t xml:space="preserve"> </w:t>
      </w:r>
      <w:proofErr w:type="spellStart"/>
      <w:r w:rsidRPr="00FD0F2B">
        <w:rPr>
          <w:rFonts w:ascii="Times New Roman" w:hAnsi="Times New Roman" w:cs="Times New Roman"/>
          <w:sz w:val="28"/>
          <w:szCs w:val="28"/>
          <w:vertAlign w:val="subscript"/>
          <w:lang w:val="en-US"/>
        </w:rPr>
        <w:t>i</w:t>
      </w:r>
      <w:proofErr w:type="spellEnd"/>
      <w:r w:rsidRPr="00FD0F2B">
        <w:rPr>
          <w:rFonts w:ascii="Times New Roman" w:hAnsi="Times New Roman" w:cs="Times New Roman"/>
          <w:sz w:val="28"/>
          <w:szCs w:val="28"/>
        </w:rPr>
        <w:t>НП</w:t>
      </w:r>
      <w:proofErr w:type="spellStart"/>
      <w:r w:rsidRPr="00FD0F2B">
        <w:rPr>
          <w:rFonts w:ascii="Times New Roman" w:hAnsi="Times New Roman" w:cs="Times New Roman"/>
          <w:sz w:val="28"/>
          <w:szCs w:val="28"/>
          <w:vertAlign w:val="subscript"/>
          <w:lang w:val="en-US"/>
        </w:rPr>
        <w:t>i</w:t>
      </w:r>
      <w:proofErr w:type="spellEnd"/>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УБО</w:t>
      </w:r>
      <w:proofErr w:type="spellStart"/>
      <w:proofErr w:type="gramStart"/>
      <w:r w:rsidRPr="00FD0F2B">
        <w:rPr>
          <w:rFonts w:ascii="Times New Roman" w:hAnsi="Times New Roman" w:cs="Times New Roman"/>
          <w:sz w:val="28"/>
          <w:szCs w:val="28"/>
          <w:vertAlign w:val="subscript"/>
          <w:lang w:val="en-US"/>
        </w:rPr>
        <w:t>i</w:t>
      </w:r>
      <w:proofErr w:type="spellEnd"/>
      <w:proofErr w:type="gramEnd"/>
      <w:r w:rsidRPr="00FD0F2B">
        <w:rPr>
          <w:rFonts w:ascii="Times New Roman" w:hAnsi="Times New Roman" w:cs="Times New Roman"/>
          <w:sz w:val="28"/>
          <w:szCs w:val="28"/>
        </w:rPr>
        <w:t xml:space="preserve"> = БО</w:t>
      </w:r>
      <w:proofErr w:type="spellStart"/>
      <w:r w:rsidRPr="00FD0F2B">
        <w:rPr>
          <w:rFonts w:ascii="Times New Roman" w:hAnsi="Times New Roman" w:cs="Times New Roman"/>
          <w:sz w:val="28"/>
          <w:szCs w:val="28"/>
          <w:vertAlign w:val="subscript"/>
          <w:lang w:val="en-US"/>
        </w:rPr>
        <w:t>i</w:t>
      </w:r>
      <w:proofErr w:type="spellEnd"/>
      <w:r w:rsidRPr="00FD0F2B">
        <w:rPr>
          <w:rFonts w:ascii="Times New Roman" w:hAnsi="Times New Roman" w:cs="Times New Roman"/>
          <w:sz w:val="28"/>
          <w:szCs w:val="28"/>
        </w:rPr>
        <w:t xml:space="preserve"> + --------------- × (-------------), где           (5)</w:t>
      </w:r>
    </w:p>
    <w:p w:rsidR="00FD0F2B" w:rsidRPr="00FD0F2B" w:rsidRDefault="00FD0F2B" w:rsidP="00FD0F2B">
      <w:pPr>
        <w:pStyle w:val="ConsPlusNormal"/>
        <w:ind w:firstLine="709"/>
        <w:jc w:val="both"/>
        <w:rPr>
          <w:rFonts w:ascii="Times New Roman" w:hAnsi="Times New Roman" w:cs="Times New Roman"/>
          <w:sz w:val="28"/>
          <w:szCs w:val="28"/>
          <w:vertAlign w:val="subscript"/>
        </w:rPr>
      </w:pPr>
      <w:r w:rsidRPr="00FD0F2B">
        <w:rPr>
          <w:rFonts w:ascii="Times New Roman" w:hAnsi="Times New Roman" w:cs="Times New Roman"/>
          <w:sz w:val="28"/>
          <w:szCs w:val="28"/>
        </w:rPr>
        <w:t xml:space="preserve">                         </w:t>
      </w:r>
      <w:r w:rsidRPr="00FD0F2B">
        <w:rPr>
          <w:rFonts w:ascii="Times New Roman" w:hAnsi="Times New Roman" w:cs="Times New Roman"/>
          <w:sz w:val="28"/>
          <w:szCs w:val="28"/>
          <w:lang w:val="en-US"/>
        </w:rPr>
        <w:t>N</w:t>
      </w:r>
      <w:r w:rsidRPr="00FD0F2B">
        <w:rPr>
          <w:rFonts w:ascii="Times New Roman" w:hAnsi="Times New Roman" w:cs="Times New Roman"/>
          <w:sz w:val="28"/>
          <w:szCs w:val="28"/>
          <w:vertAlign w:val="subscript"/>
          <w:lang w:val="en-US"/>
        </w:rPr>
        <w:t>i</w:t>
      </w:r>
      <w:r w:rsidRPr="00FD0F2B">
        <w:rPr>
          <w:rFonts w:ascii="Times New Roman" w:hAnsi="Times New Roman" w:cs="Times New Roman"/>
          <w:sz w:val="28"/>
          <w:szCs w:val="28"/>
        </w:rPr>
        <w:t xml:space="preserve"> × ИБР</w:t>
      </w:r>
      <w:proofErr w:type="spellStart"/>
      <w:r w:rsidRPr="00FD0F2B">
        <w:rPr>
          <w:rFonts w:ascii="Times New Roman" w:hAnsi="Times New Roman" w:cs="Times New Roman"/>
          <w:sz w:val="28"/>
          <w:szCs w:val="28"/>
          <w:vertAlign w:val="subscript"/>
          <w:lang w:val="en-US"/>
        </w:rPr>
        <w:t>i</w:t>
      </w:r>
      <w:proofErr w:type="spellEnd"/>
      <w:r w:rsidRPr="00FD0F2B">
        <w:rPr>
          <w:rFonts w:ascii="Times New Roman" w:hAnsi="Times New Roman" w:cs="Times New Roman"/>
          <w:sz w:val="28"/>
          <w:szCs w:val="28"/>
        </w:rPr>
        <w:t xml:space="preserve">              ∑</w:t>
      </w:r>
      <w:proofErr w:type="spellStart"/>
      <w:r w:rsidRPr="00FD0F2B">
        <w:rPr>
          <w:rFonts w:ascii="Times New Roman" w:hAnsi="Times New Roman" w:cs="Times New Roman"/>
          <w:sz w:val="28"/>
          <w:szCs w:val="28"/>
          <w:vertAlign w:val="subscript"/>
          <w:lang w:val="en-US"/>
        </w:rPr>
        <w:t>i</w:t>
      </w:r>
      <w:proofErr w:type="spellEnd"/>
      <w:r w:rsidRPr="00FD0F2B">
        <w:rPr>
          <w:rFonts w:ascii="Times New Roman" w:hAnsi="Times New Roman" w:cs="Times New Roman"/>
          <w:sz w:val="28"/>
          <w:szCs w:val="28"/>
        </w:rPr>
        <w:t xml:space="preserve"> </w:t>
      </w:r>
      <w:r w:rsidRPr="00FD0F2B">
        <w:rPr>
          <w:rFonts w:ascii="Times New Roman" w:hAnsi="Times New Roman" w:cs="Times New Roman"/>
          <w:sz w:val="28"/>
          <w:szCs w:val="28"/>
          <w:lang w:val="en-US"/>
        </w:rPr>
        <w:t>N</w:t>
      </w:r>
      <w:r w:rsidRPr="00FD0F2B">
        <w:rPr>
          <w:rFonts w:ascii="Times New Roman" w:hAnsi="Times New Roman" w:cs="Times New Roman"/>
          <w:sz w:val="28"/>
          <w:szCs w:val="28"/>
          <w:vertAlign w:val="subscript"/>
          <w:lang w:val="en-US"/>
        </w:rPr>
        <w:t>i</w:t>
      </w:r>
    </w:p>
    <w:p w:rsidR="00FD0F2B" w:rsidRPr="00FD0F2B" w:rsidRDefault="00FD0F2B" w:rsidP="00FD0F2B">
      <w:pPr>
        <w:pStyle w:val="ConsPlusNormal"/>
        <w:ind w:firstLine="709"/>
        <w:jc w:val="both"/>
        <w:rPr>
          <w:rFonts w:ascii="Times New Roman" w:hAnsi="Times New Roman" w:cs="Times New Roman"/>
          <w:sz w:val="28"/>
          <w:szCs w:val="28"/>
          <w:vertAlign w:val="subscript"/>
        </w:rPr>
      </w:pPr>
    </w:p>
    <w:p w:rsidR="00FD0F2B" w:rsidRPr="00FD0F2B" w:rsidRDefault="00FD0F2B" w:rsidP="00FD0F2B">
      <w:pPr>
        <w:ind w:firstLine="709"/>
        <w:jc w:val="both"/>
        <w:rPr>
          <w:sz w:val="28"/>
          <w:szCs w:val="28"/>
        </w:rPr>
      </w:pPr>
      <w:r w:rsidRPr="00FD0F2B">
        <w:rPr>
          <w:sz w:val="28"/>
          <w:szCs w:val="28"/>
        </w:rPr>
        <w:t>УБО</w:t>
      </w:r>
      <w:proofErr w:type="spellStart"/>
      <w:r w:rsidRPr="00FD0F2B">
        <w:rPr>
          <w:sz w:val="28"/>
          <w:szCs w:val="28"/>
          <w:vertAlign w:val="subscript"/>
          <w:lang w:val="en-US"/>
        </w:rPr>
        <w:t>i</w:t>
      </w:r>
      <w:proofErr w:type="spellEnd"/>
      <w:r w:rsidRPr="00FD0F2B">
        <w:rPr>
          <w:sz w:val="28"/>
          <w:szCs w:val="28"/>
        </w:rPr>
        <w:t xml:space="preserve"> - уровень расчетной бюджетной обеспеченности i-</w:t>
      </w:r>
      <w:proofErr w:type="spellStart"/>
      <w:r w:rsidRPr="00FD0F2B">
        <w:rPr>
          <w:sz w:val="28"/>
          <w:szCs w:val="28"/>
        </w:rPr>
        <w:t>го</w:t>
      </w:r>
      <w:proofErr w:type="spellEnd"/>
      <w:r w:rsidRPr="00FD0F2B">
        <w:rPr>
          <w:sz w:val="28"/>
          <w:szCs w:val="28"/>
        </w:rPr>
        <w:t xml:space="preserve"> муниципального района (городского округа) после распределения дотаций;</w:t>
      </w:r>
    </w:p>
    <w:p w:rsidR="00FD0F2B" w:rsidRPr="00FD0F2B" w:rsidRDefault="00FD0F2B" w:rsidP="00FD0F2B">
      <w:pPr>
        <w:pStyle w:val="ConsPlusTitle"/>
        <w:ind w:firstLine="709"/>
        <w:jc w:val="both"/>
        <w:outlineLvl w:val="1"/>
        <w:rPr>
          <w:rFonts w:ascii="Times New Roman" w:hAnsi="Times New Roman" w:cs="Times New Roman"/>
          <w:b w:val="0"/>
          <w:sz w:val="28"/>
          <w:szCs w:val="28"/>
        </w:rPr>
      </w:pPr>
      <w:r w:rsidRPr="00FD0F2B">
        <w:rPr>
          <w:rFonts w:ascii="Times New Roman" w:hAnsi="Times New Roman" w:cs="Times New Roman"/>
          <w:b w:val="0"/>
          <w:sz w:val="28"/>
          <w:szCs w:val="28"/>
        </w:rPr>
        <w:t>ФФПР</w:t>
      </w:r>
      <w:r w:rsidRPr="00FD0F2B">
        <w:rPr>
          <w:rFonts w:ascii="Times New Roman" w:hAnsi="Times New Roman" w:cs="Times New Roman"/>
          <w:b w:val="0"/>
          <w:sz w:val="28"/>
          <w:szCs w:val="28"/>
          <w:vertAlign w:val="subscript"/>
        </w:rPr>
        <w:fldChar w:fldCharType="begin"/>
      </w:r>
      <w:r w:rsidRPr="00FD0F2B">
        <w:rPr>
          <w:rFonts w:ascii="Times New Roman" w:hAnsi="Times New Roman" w:cs="Times New Roman"/>
          <w:b w:val="0"/>
          <w:sz w:val="28"/>
          <w:szCs w:val="28"/>
          <w:vertAlign w:val="subscript"/>
        </w:rPr>
        <w:instrText xml:space="preserve"> QUOTE </w:instrText>
      </w:r>
      <m:oMath>
        <m:r>
          <m:rPr>
            <m:sty m:val="b"/>
          </m:rPr>
          <w:rPr>
            <w:rFonts w:ascii="Cambria Math" w:hAnsi="Cambria Math" w:cs="Times New Roman"/>
            <w:sz w:val="28"/>
            <w:szCs w:val="28"/>
          </w:rPr>
          <m:t xml:space="preserve"> </m:t>
        </m:r>
        <m:r>
          <m:rPr>
            <m:sty m:val="b"/>
          </m:rPr>
          <w:rPr>
            <w:rFonts w:ascii="Cambria Math" w:hAnsi="Cambria Math" w:cs="Times New Roman"/>
            <w:sz w:val="28"/>
            <w:szCs w:val="28"/>
            <w:lang w:val="en-US"/>
          </w:rPr>
          <m:t>i</m:t>
        </m:r>
      </m:oMath>
      <w:r w:rsidRPr="00FD0F2B">
        <w:rPr>
          <w:rFonts w:ascii="Times New Roman" w:hAnsi="Times New Roman" w:cs="Times New Roman"/>
          <w:b w:val="0"/>
          <w:sz w:val="28"/>
          <w:szCs w:val="28"/>
          <w:vertAlign w:val="subscript"/>
        </w:rPr>
        <w:instrText xml:space="preserve"> </w:instrText>
      </w:r>
      <w:r w:rsidRPr="00FD0F2B">
        <w:rPr>
          <w:rFonts w:ascii="Times New Roman" w:hAnsi="Times New Roman" w:cs="Times New Roman"/>
          <w:b w:val="0"/>
          <w:sz w:val="28"/>
          <w:szCs w:val="28"/>
          <w:vertAlign w:val="subscript"/>
        </w:rPr>
        <w:fldChar w:fldCharType="separate"/>
      </w:r>
      <w:proofErr w:type="spellStart"/>
      <w:r w:rsidRPr="00FD0F2B">
        <w:rPr>
          <w:rFonts w:ascii="Times New Roman" w:hAnsi="Times New Roman" w:cs="Times New Roman"/>
          <w:b w:val="0"/>
          <w:position w:val="-6"/>
          <w:sz w:val="28"/>
          <w:szCs w:val="28"/>
          <w:vertAlign w:val="subscript"/>
          <w:lang w:val="en-US"/>
        </w:rPr>
        <w:t>i</w:t>
      </w:r>
      <w:proofErr w:type="spellEnd"/>
      <w:r w:rsidRPr="00FD0F2B">
        <w:rPr>
          <w:rFonts w:ascii="Times New Roman" w:hAnsi="Times New Roman" w:cs="Times New Roman"/>
          <w:b w:val="0"/>
          <w:sz w:val="28"/>
          <w:szCs w:val="28"/>
          <w:vertAlign w:val="subscript"/>
        </w:rPr>
        <w:fldChar w:fldCharType="end"/>
      </w:r>
      <w:r w:rsidRPr="00FD0F2B">
        <w:rPr>
          <w:rFonts w:ascii="Times New Roman" w:hAnsi="Times New Roman" w:cs="Times New Roman"/>
          <w:b w:val="0"/>
          <w:sz w:val="28"/>
          <w:szCs w:val="28"/>
          <w:vertAlign w:val="subscript"/>
        </w:rPr>
        <w:t xml:space="preserve"> </w:t>
      </w:r>
      <w:r w:rsidRPr="00FD0F2B">
        <w:rPr>
          <w:rFonts w:ascii="Times New Roman" w:hAnsi="Times New Roman" w:cs="Times New Roman"/>
          <w:b w:val="0"/>
          <w:sz w:val="28"/>
          <w:szCs w:val="28"/>
        </w:rPr>
        <w:t>– общий объем дотаций на выравнивание бюджетной обеспеченности муниципальных районов (городских округов), выделяемых муниципальному району (городскому округу) на очередной финансовый год, первый и второй годы планового периода.</w:t>
      </w:r>
    </w:p>
    <w:p w:rsidR="00FD0F2B" w:rsidRDefault="00FD0F2B" w:rsidP="00FD0F2B">
      <w:pPr>
        <w:pStyle w:val="ConsPlusTitle"/>
        <w:jc w:val="center"/>
        <w:outlineLvl w:val="1"/>
        <w:rPr>
          <w:rFonts w:ascii="Times New Roman" w:hAnsi="Times New Roman" w:cs="Times New Roman"/>
          <w:sz w:val="28"/>
          <w:szCs w:val="28"/>
        </w:rPr>
      </w:pPr>
    </w:p>
    <w:p w:rsidR="00FD0F2B" w:rsidRPr="00FD0F2B" w:rsidRDefault="00FD0F2B" w:rsidP="00FD0F2B">
      <w:pPr>
        <w:pStyle w:val="ConsPlusTitle"/>
        <w:jc w:val="center"/>
        <w:outlineLvl w:val="1"/>
        <w:rPr>
          <w:rFonts w:ascii="Times New Roman" w:hAnsi="Times New Roman" w:cs="Times New Roman"/>
          <w:sz w:val="28"/>
          <w:szCs w:val="28"/>
        </w:rPr>
      </w:pPr>
      <w:r w:rsidRPr="00FD0F2B">
        <w:rPr>
          <w:rFonts w:ascii="Times New Roman" w:hAnsi="Times New Roman" w:cs="Times New Roman"/>
          <w:sz w:val="28"/>
          <w:szCs w:val="28"/>
        </w:rPr>
        <w:t>6. Определение дополнительных нормативов отчислений</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в бюджеты муниципальных районов (городских округов)</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от налога на доходы физических лиц, заменяющих дотации</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на выравнивание бюджетной обеспеченности муниципальных</w:t>
      </w:r>
    </w:p>
    <w:p w:rsidR="00FD0F2B" w:rsidRPr="00FD0F2B" w:rsidRDefault="00FD0F2B" w:rsidP="00FD0F2B">
      <w:pPr>
        <w:pStyle w:val="ConsPlusTitle"/>
        <w:jc w:val="center"/>
        <w:rPr>
          <w:rFonts w:ascii="Times New Roman" w:hAnsi="Times New Roman" w:cs="Times New Roman"/>
          <w:sz w:val="28"/>
          <w:szCs w:val="28"/>
        </w:rPr>
      </w:pPr>
      <w:r w:rsidRPr="00FD0F2B">
        <w:rPr>
          <w:rFonts w:ascii="Times New Roman" w:hAnsi="Times New Roman" w:cs="Times New Roman"/>
          <w:sz w:val="28"/>
          <w:szCs w:val="28"/>
        </w:rPr>
        <w:t>районов (городских округов)</w:t>
      </w:r>
    </w:p>
    <w:p w:rsidR="00FD0F2B" w:rsidRPr="00FD0F2B" w:rsidRDefault="00FD0F2B" w:rsidP="00FD0F2B">
      <w:pPr>
        <w:pStyle w:val="ConsPlusNormal"/>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 xml:space="preserve">Дополнительные нормативы отчислений в бюджеты муниципальных </w:t>
      </w:r>
      <w:r w:rsidRPr="00FD0F2B">
        <w:rPr>
          <w:rFonts w:ascii="Times New Roman" w:hAnsi="Times New Roman" w:cs="Times New Roman"/>
          <w:sz w:val="28"/>
          <w:szCs w:val="28"/>
        </w:rPr>
        <w:lastRenderedPageBreak/>
        <w:t>районов (городских округов) от налога на доходы физических лиц, заменяющие дотации на выравнивание бюджетной обеспеченности муниципальных районов (городских округов), определяются по следующей формуле:</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Норм(</w:t>
      </w:r>
      <w:proofErr w:type="spellStart"/>
      <w:r w:rsidRPr="00FD0F2B">
        <w:rPr>
          <w:rFonts w:ascii="Times New Roman" w:hAnsi="Times New Roman" w:cs="Times New Roman"/>
          <w:sz w:val="28"/>
          <w:szCs w:val="28"/>
        </w:rPr>
        <w:t>МР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w:t>
      </w:r>
      <w:proofErr w:type="spellStart"/>
      <w:r w:rsidRPr="00FD0F2B">
        <w:rPr>
          <w:rFonts w:ascii="Times New Roman" w:hAnsi="Times New Roman" w:cs="Times New Roman"/>
          <w:sz w:val="28"/>
          <w:szCs w:val="28"/>
        </w:rPr>
        <w:t>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w:t>
      </w: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где (14)</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Норм(</w:t>
      </w:r>
      <w:proofErr w:type="spellStart"/>
      <w:r w:rsidRPr="00FD0F2B">
        <w:rPr>
          <w:rFonts w:ascii="Times New Roman" w:hAnsi="Times New Roman" w:cs="Times New Roman"/>
          <w:sz w:val="28"/>
          <w:szCs w:val="28"/>
        </w:rPr>
        <w:t>МР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 дополнительный норматив отчислений от налога на доходы физических лиц в бюджет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расчетный объем дотации на выравнивание бюджетной обеспеченности муниципальных районов (городских округов) i-</w:t>
      </w:r>
      <w:proofErr w:type="spellStart"/>
      <w:r w:rsidRPr="00FD0F2B">
        <w:rPr>
          <w:rFonts w:ascii="Times New Roman" w:hAnsi="Times New Roman" w:cs="Times New Roman"/>
          <w:sz w:val="28"/>
          <w:szCs w:val="28"/>
        </w:rPr>
        <w:t>му</w:t>
      </w:r>
      <w:proofErr w:type="spellEnd"/>
      <w:r w:rsidRPr="00FD0F2B">
        <w:rPr>
          <w:rFonts w:ascii="Times New Roman" w:hAnsi="Times New Roman" w:cs="Times New Roman"/>
          <w:sz w:val="28"/>
          <w:szCs w:val="28"/>
        </w:rPr>
        <w:t xml:space="preserve"> муниципальному району (городскому округу)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Дополнительный норматив по налогу на доходы физических лиц устанавливается с точностью до двух знаков после запятой.</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В случае замещения расчетного объема дотации на выравнивание бюджетной обеспеченности муниципальных районов (городских округов) (части расчетного объема дотации) муниципальному району (городскому округу) дополнительными нормативами отчислений от налога на доходы физических лиц размер дотации на выравнивание бюджетной обеспеченности муниципальных районов (городских округов) муниципальному району (городскому округу) определяется по формуле:</w:t>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ДЗ</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w:t>
      </w:r>
      <w:proofErr w:type="spellStart"/>
      <w:r w:rsidRPr="00FD0F2B">
        <w:rPr>
          <w:rFonts w:ascii="Times New Roman" w:hAnsi="Times New Roman" w:cs="Times New Roman"/>
          <w:sz w:val="28"/>
          <w:szCs w:val="28"/>
        </w:rPr>
        <w:t>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Норм(</w:t>
      </w:r>
      <w:proofErr w:type="spellStart"/>
      <w:r w:rsidRPr="00FD0F2B">
        <w:rPr>
          <w:rFonts w:ascii="Times New Roman" w:hAnsi="Times New Roman" w:cs="Times New Roman"/>
          <w:sz w:val="28"/>
          <w:szCs w:val="28"/>
        </w:rPr>
        <w:t>МР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x </w:t>
      </w: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где (15)</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ДЗ</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размер дотации на выравнивание бюджетной обеспеченности муниципальных районов (городских округов) i-</w:t>
      </w:r>
      <w:proofErr w:type="spellStart"/>
      <w:r w:rsidRPr="00FD0F2B">
        <w:rPr>
          <w:rFonts w:ascii="Times New Roman" w:hAnsi="Times New Roman" w:cs="Times New Roman"/>
          <w:sz w:val="28"/>
          <w:szCs w:val="28"/>
        </w:rPr>
        <w:t>му</w:t>
      </w:r>
      <w:proofErr w:type="spellEnd"/>
      <w:r w:rsidRPr="00FD0F2B">
        <w:rPr>
          <w:rFonts w:ascii="Times New Roman" w:hAnsi="Times New Roman" w:cs="Times New Roman"/>
          <w:sz w:val="28"/>
          <w:szCs w:val="28"/>
        </w:rPr>
        <w:t xml:space="preserve"> муниципальному району (городскому округу) после замещения расчетного объема дотации на выравнивание бюджетной обеспеченности муниципальных районов (городских округов) (части расчетного объема дотации) муниципальному району (городскому округу) дополнительными нормативами отчислений от налога на доходы физических лиц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Д</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расчетный объем дотации на выравнивание бюджетной обеспеченности муниципальных районов (городских округов) i-</w:t>
      </w:r>
      <w:proofErr w:type="spellStart"/>
      <w:r w:rsidRPr="00FD0F2B">
        <w:rPr>
          <w:rFonts w:ascii="Times New Roman" w:hAnsi="Times New Roman" w:cs="Times New Roman"/>
          <w:sz w:val="28"/>
          <w:szCs w:val="28"/>
        </w:rPr>
        <w:t>му</w:t>
      </w:r>
      <w:proofErr w:type="spellEnd"/>
      <w:r w:rsidRPr="00FD0F2B">
        <w:rPr>
          <w:rFonts w:ascii="Times New Roman" w:hAnsi="Times New Roman" w:cs="Times New Roman"/>
          <w:sz w:val="28"/>
          <w:szCs w:val="28"/>
        </w:rPr>
        <w:t xml:space="preserve"> муниципальному району (городскому округу)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Норм(</w:t>
      </w:r>
      <w:proofErr w:type="spellStart"/>
      <w:r w:rsidRPr="00FD0F2B">
        <w:rPr>
          <w:rFonts w:ascii="Times New Roman" w:hAnsi="Times New Roman" w:cs="Times New Roman"/>
          <w:sz w:val="28"/>
          <w:szCs w:val="28"/>
        </w:rPr>
        <w:t>МР</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дополнительный норматив отчислений от налога на </w:t>
      </w:r>
      <w:r w:rsidRPr="00FD0F2B">
        <w:rPr>
          <w:rFonts w:ascii="Times New Roman" w:hAnsi="Times New Roman" w:cs="Times New Roman"/>
          <w:sz w:val="28"/>
          <w:szCs w:val="28"/>
        </w:rPr>
        <w:lastRenderedPageBreak/>
        <w:t>доходы физических лиц в бюджет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на очередной финансовый год (первый год планового периода, второй год планового периода).</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Объем налога на доходы физических лиц, подлежащий зачислению в консолидированный бюджет Ивановской области по территории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определяется по формуле:</w:t>
      </w:r>
    </w:p>
    <w:p w:rsidR="00FD0F2B" w:rsidRPr="00FD0F2B" w:rsidRDefault="00FD0F2B" w:rsidP="00FD0F2B">
      <w:pPr>
        <w:pStyle w:val="ConsPlusNormal"/>
        <w:ind w:firstLine="540"/>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НДФЛ</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Н x </w:t>
      </w:r>
      <w:proofErr w:type="spellStart"/>
      <w:r w:rsidRPr="00FD0F2B">
        <w:rPr>
          <w:rFonts w:ascii="Times New Roman" w:hAnsi="Times New Roman" w:cs="Times New Roman"/>
          <w:sz w:val="28"/>
          <w:szCs w:val="28"/>
        </w:rPr>
        <w:t>b</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где (16)</w:t>
      </w:r>
    </w:p>
    <w:p w:rsidR="00FD0F2B" w:rsidRPr="00FD0F2B" w:rsidRDefault="00FD0F2B" w:rsidP="00FD0F2B">
      <w:pPr>
        <w:pStyle w:val="ConsPlusNormal"/>
        <w:ind w:firstLine="709"/>
        <w:jc w:val="both"/>
        <w:rPr>
          <w:rFonts w:ascii="Times New Roman" w:hAnsi="Times New Roman" w:cs="Times New Roman"/>
          <w:sz w:val="28"/>
          <w:szCs w:val="28"/>
        </w:rPr>
      </w:pP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Н - прогноз доходов по налогу на доходы физических лиц в консолидированный бюджет Ивановской области на очередной финансовый год (первый год планового периода, второй год планового периода) (в соответствии с проектом областного бюджета на очередной финансовый год и плановый период);</w:t>
      </w:r>
    </w:p>
    <w:p w:rsidR="00FD0F2B" w:rsidRPr="00FD0F2B" w:rsidRDefault="00FD0F2B" w:rsidP="00FD0F2B">
      <w:pPr>
        <w:pStyle w:val="ConsPlusNormal"/>
        <w:ind w:firstLine="709"/>
        <w:jc w:val="both"/>
        <w:rPr>
          <w:rFonts w:ascii="Times New Roman" w:hAnsi="Times New Roman" w:cs="Times New Roman"/>
          <w:sz w:val="28"/>
          <w:szCs w:val="28"/>
        </w:rPr>
      </w:pPr>
      <w:proofErr w:type="spellStart"/>
      <w:r w:rsidRPr="00FD0F2B">
        <w:rPr>
          <w:rFonts w:ascii="Times New Roman" w:hAnsi="Times New Roman" w:cs="Times New Roman"/>
          <w:sz w:val="28"/>
          <w:szCs w:val="28"/>
        </w:rPr>
        <w:t>b</w:t>
      </w:r>
      <w:r w:rsidRPr="00FD0F2B">
        <w:rPr>
          <w:rFonts w:ascii="Times New Roman" w:hAnsi="Times New Roman" w:cs="Times New Roman"/>
          <w:sz w:val="28"/>
          <w:szCs w:val="28"/>
          <w:vertAlign w:val="subscript"/>
        </w:rPr>
        <w:t>i</w:t>
      </w:r>
      <w:proofErr w:type="spellEnd"/>
      <w:r w:rsidRPr="00FD0F2B">
        <w:rPr>
          <w:rFonts w:ascii="Times New Roman" w:hAnsi="Times New Roman" w:cs="Times New Roman"/>
          <w:sz w:val="28"/>
          <w:szCs w:val="28"/>
        </w:rPr>
        <w:t xml:space="preserve"> - доля общей суммы исчисленного налога, указанного в декларациях по налогу на доходы физических лиц на территории i-</w:t>
      </w:r>
      <w:proofErr w:type="spellStart"/>
      <w:r w:rsidRPr="00FD0F2B">
        <w:rPr>
          <w:rFonts w:ascii="Times New Roman" w:hAnsi="Times New Roman" w:cs="Times New Roman"/>
          <w:sz w:val="28"/>
          <w:szCs w:val="28"/>
        </w:rPr>
        <w:t>го</w:t>
      </w:r>
      <w:proofErr w:type="spellEnd"/>
      <w:r w:rsidRPr="00FD0F2B">
        <w:rPr>
          <w:rFonts w:ascii="Times New Roman" w:hAnsi="Times New Roman" w:cs="Times New Roman"/>
          <w:sz w:val="28"/>
          <w:szCs w:val="28"/>
        </w:rPr>
        <w:t xml:space="preserve"> муниципального района (городского округа), в общей сумме исчисленного налога на территории Ивановской области за последний отчетный год (в соответствии с отчетами о налоговой базе и структуре начислений по налогу на доходы физических лиц, представляемыми УФНС России по Ивановской области).</w:t>
      </w:r>
    </w:p>
    <w:p w:rsidR="00FD0F2B" w:rsidRPr="00FD0F2B" w:rsidRDefault="00FD0F2B" w:rsidP="00FD0F2B">
      <w:pPr>
        <w:pStyle w:val="ConsPlusNormal"/>
        <w:ind w:firstLine="709"/>
        <w:jc w:val="both"/>
        <w:rPr>
          <w:rFonts w:ascii="Times New Roman" w:hAnsi="Times New Roman" w:cs="Times New Roman"/>
          <w:sz w:val="28"/>
          <w:szCs w:val="28"/>
        </w:rPr>
      </w:pPr>
      <w:r w:rsidRPr="00FD0F2B">
        <w:rPr>
          <w:rFonts w:ascii="Times New Roman" w:hAnsi="Times New Roman" w:cs="Times New Roman"/>
          <w:sz w:val="28"/>
          <w:szCs w:val="28"/>
        </w:rPr>
        <w:t>В случае если рассчитанный дополнительный норматив превышает максимально возможный норматив, равный нормативу отчислений налога на доходы физических лиц в областной бюджет, в качестве дополнительного закрепляется максимально возможный норматив. Недостающие средства передаются в бюджет муниципального района (городского округа) в форме дотации на выравнивание бюджетной обеспеченности муниципальных районов (городских округов).</w:t>
      </w:r>
    </w:p>
    <w:p w:rsidR="00FD0F2B" w:rsidRDefault="00FD0F2B" w:rsidP="00FD0F2B">
      <w:pPr>
        <w:pStyle w:val="ConsPlusNormal"/>
        <w:ind w:firstLine="540"/>
        <w:jc w:val="both"/>
      </w:pPr>
    </w:p>
    <w:p w:rsidR="00500AB3" w:rsidRDefault="00500AB3"/>
    <w:sectPr w:rsidR="00500A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01"/>
    <w:family w:val="roman"/>
    <w:notTrueType/>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F2B"/>
    <w:rsid w:val="001B5016"/>
    <w:rsid w:val="00500AB3"/>
    <w:rsid w:val="00A23E50"/>
    <w:rsid w:val="00FD0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F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0F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D0F2B"/>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er"/>
    <w:basedOn w:val="a"/>
    <w:link w:val="a4"/>
    <w:rsid w:val="00FD0F2B"/>
    <w:pPr>
      <w:tabs>
        <w:tab w:val="center" w:pos="4677"/>
        <w:tab w:val="right" w:pos="9355"/>
      </w:tabs>
    </w:pPr>
  </w:style>
  <w:style w:type="character" w:customStyle="1" w:styleId="a4">
    <w:name w:val="Нижний колонтитул Знак"/>
    <w:basedOn w:val="a0"/>
    <w:link w:val="a3"/>
    <w:rsid w:val="00FD0F2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A23E50"/>
    <w:rPr>
      <w:rFonts w:ascii="Tahoma" w:hAnsi="Tahoma" w:cs="Tahoma"/>
      <w:sz w:val="16"/>
      <w:szCs w:val="16"/>
    </w:rPr>
  </w:style>
  <w:style w:type="character" w:customStyle="1" w:styleId="a6">
    <w:name w:val="Текст выноски Знак"/>
    <w:basedOn w:val="a0"/>
    <w:link w:val="a5"/>
    <w:uiPriority w:val="99"/>
    <w:semiHidden/>
    <w:rsid w:val="00A23E5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F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0F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D0F2B"/>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er"/>
    <w:basedOn w:val="a"/>
    <w:link w:val="a4"/>
    <w:rsid w:val="00FD0F2B"/>
    <w:pPr>
      <w:tabs>
        <w:tab w:val="center" w:pos="4677"/>
        <w:tab w:val="right" w:pos="9355"/>
      </w:tabs>
    </w:pPr>
  </w:style>
  <w:style w:type="character" w:customStyle="1" w:styleId="a4">
    <w:name w:val="Нижний колонтитул Знак"/>
    <w:basedOn w:val="a0"/>
    <w:link w:val="a3"/>
    <w:rsid w:val="00FD0F2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A23E50"/>
    <w:rPr>
      <w:rFonts w:ascii="Tahoma" w:hAnsi="Tahoma" w:cs="Tahoma"/>
      <w:sz w:val="16"/>
      <w:szCs w:val="16"/>
    </w:rPr>
  </w:style>
  <w:style w:type="character" w:customStyle="1" w:styleId="a6">
    <w:name w:val="Текст выноски Знак"/>
    <w:basedOn w:val="a0"/>
    <w:link w:val="a5"/>
    <w:uiPriority w:val="99"/>
    <w:semiHidden/>
    <w:rsid w:val="00A23E5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3585</Words>
  <Characters>20437</Characters>
  <Application>Microsoft Office Word</Application>
  <DocSecurity>0</DocSecurity>
  <Lines>170</Lines>
  <Paragraphs>47</Paragraphs>
  <ScaleCrop>false</ScaleCrop>
  <Company/>
  <LinksUpToDate>false</LinksUpToDate>
  <CharactersWithSpaces>23975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 Желобанова</dc:creator>
  <cp:keywords/>
  <dc:description/>
  <cp:lastModifiedBy>Светлана А. Бородулина</cp:lastModifiedBy>
  <cp:revision>3</cp:revision>
  <dcterms:created xsi:type="dcterms:W3CDTF">2018-10-19T07:48:00Z</dcterms:created>
  <dcterms:modified xsi:type="dcterms:W3CDTF">2018-10-19T12:55:00Z</dcterms:modified>
</cp:coreProperties>
</file>