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D93AE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700C90" w:rsidRDefault="00700C90" w:rsidP="00700C90">
            <w:pPr>
              <w:jc w:val="center"/>
              <w:rPr>
                <w:b/>
                <w:sz w:val="28"/>
              </w:rPr>
            </w:pPr>
            <w:r w:rsidRPr="00700C90">
              <w:rPr>
                <w:b/>
                <w:sz w:val="28"/>
              </w:rPr>
              <w:t>Об утверждении основных направлений государственной</w:t>
            </w:r>
          </w:p>
          <w:p w:rsidR="00D65A60" w:rsidRDefault="00700C90" w:rsidP="00700C90">
            <w:pPr>
              <w:jc w:val="center"/>
              <w:rPr>
                <w:b/>
                <w:sz w:val="28"/>
              </w:rPr>
            </w:pPr>
            <w:r w:rsidRPr="00700C90">
              <w:rPr>
                <w:b/>
                <w:sz w:val="28"/>
              </w:rPr>
              <w:t xml:space="preserve">долговой политики Ивановской области </w:t>
            </w:r>
            <w:r w:rsidR="0002184D">
              <w:rPr>
                <w:b/>
                <w:sz w:val="28"/>
              </w:rPr>
              <w:t xml:space="preserve">на 2020 – 2022 годы </w:t>
            </w:r>
            <w:r w:rsidR="0002184D">
              <w:rPr>
                <w:b/>
                <w:sz w:val="28"/>
              </w:rPr>
              <w:br/>
              <w:t xml:space="preserve">и </w:t>
            </w:r>
            <w:r w:rsidRPr="00700C90">
              <w:rPr>
                <w:b/>
                <w:sz w:val="28"/>
              </w:rPr>
              <w:t>на период до 2030 года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0E2C9B" w:rsidRDefault="000E2C9B" w:rsidP="0001595F">
            <w:pPr>
              <w:pStyle w:val="a4"/>
            </w:pPr>
            <w:r w:rsidRPr="006E08B8">
              <w:t xml:space="preserve">В </w:t>
            </w:r>
            <w:r w:rsidR="008939FE" w:rsidRPr="006E08B8">
              <w:t xml:space="preserve">соответствии </w:t>
            </w:r>
            <w:r w:rsidR="0001595F" w:rsidRPr="006E08B8">
              <w:t xml:space="preserve">с постановлением Правительства </w:t>
            </w:r>
            <w:r w:rsidR="006A0DB2" w:rsidRPr="006E08B8">
              <w:br/>
            </w:r>
            <w:r w:rsidR="0001595F" w:rsidRPr="006E08B8">
              <w:t>Ро</w:t>
            </w:r>
            <w:r w:rsidR="006E08B8">
              <w:t>ссийской Федерации от 30.12.2018 № 1762</w:t>
            </w:r>
            <w:r w:rsidR="0001595F" w:rsidRPr="006E08B8">
              <w:t xml:space="preserve"> «О соглашениях, которые предусматривают меры по социально-экономическому развитию и оздоровлению государственных финансов субъектов </w:t>
            </w:r>
            <w:r w:rsidR="006A0DB2" w:rsidRPr="006E08B8">
              <w:br/>
            </w:r>
            <w:r w:rsidR="0001595F" w:rsidRPr="006E08B8">
              <w:t>Российской Федерации</w:t>
            </w:r>
            <w:r w:rsidR="0001595F" w:rsidRPr="006E7E61">
              <w:rPr>
                <w:i/>
              </w:rPr>
              <w:t>»</w:t>
            </w:r>
            <w:r w:rsidR="0001595F">
              <w:t xml:space="preserve">, </w:t>
            </w:r>
            <w:r w:rsidR="008939FE">
              <w:t xml:space="preserve">частью 1 статьи 60 Устава Ивановской области, </w:t>
            </w:r>
            <w:r w:rsidR="008939FE">
              <w:br/>
            </w:r>
            <w:r w:rsidR="004116F7">
              <w:t xml:space="preserve">Законом Ивановской области от 03.07.2014 № 55-ОЗ «О государственном долге» </w:t>
            </w:r>
            <w:r>
              <w:t>Правительство Ивановской области</w:t>
            </w:r>
            <w:r w:rsidR="004116F7">
              <w:t xml:space="preserve"> </w:t>
            </w:r>
            <w:r w:rsidRPr="0092631C">
              <w:rPr>
                <w:b/>
              </w:rPr>
              <w:t>п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о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с</w:t>
            </w:r>
            <w:r w:rsidR="00992CD3" w:rsidRPr="0092631C">
              <w:rPr>
                <w:b/>
              </w:rPr>
              <w:t xml:space="preserve"> </w:t>
            </w:r>
            <w:proofErr w:type="gramStart"/>
            <w:r w:rsidRPr="0092631C">
              <w:rPr>
                <w:b/>
              </w:rPr>
              <w:t>т</w:t>
            </w:r>
            <w:proofErr w:type="gramEnd"/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а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н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о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в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л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я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е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т</w:t>
            </w:r>
            <w:r w:rsidRPr="00937548">
              <w:t>:</w:t>
            </w:r>
          </w:p>
          <w:p w:rsidR="00F51963" w:rsidRDefault="00F51963" w:rsidP="0001595F">
            <w:pPr>
              <w:pStyle w:val="a4"/>
            </w:pPr>
          </w:p>
          <w:p w:rsidR="00F51963" w:rsidRDefault="00F51963" w:rsidP="00F51963">
            <w:pPr>
              <w:pStyle w:val="a4"/>
            </w:pPr>
            <w:r w:rsidRPr="00F51963">
              <w:t>1.</w:t>
            </w:r>
            <w:r>
              <w:t xml:space="preserve"> </w:t>
            </w:r>
            <w:r w:rsidRPr="00F51963">
              <w:t>Утвердить основные направления государственной долговой политики Ивановской области на</w:t>
            </w:r>
            <w:r w:rsidR="008B773C">
              <w:t xml:space="preserve"> </w:t>
            </w:r>
            <w:r>
              <w:t xml:space="preserve">2020 </w:t>
            </w:r>
            <w:r w:rsidR="008B773C">
              <w:t xml:space="preserve">– </w:t>
            </w:r>
            <w:r>
              <w:t>2022</w:t>
            </w:r>
            <w:r w:rsidRPr="00F51963">
              <w:t xml:space="preserve"> </w:t>
            </w:r>
            <w:r w:rsidR="008B773C">
              <w:t>годы</w:t>
            </w:r>
            <w:r>
              <w:t xml:space="preserve"> и на период</w:t>
            </w:r>
            <w:r w:rsidRPr="00F51963">
              <w:t xml:space="preserve"> до 2030 года (прилагаются).</w:t>
            </w:r>
          </w:p>
          <w:p w:rsidR="00F51963" w:rsidRDefault="00F51963" w:rsidP="00F51963">
            <w:pPr>
              <w:pStyle w:val="a4"/>
            </w:pPr>
            <w:r>
              <w:t>2. Признать утратившими силу постановления Правительства Ивановской области:</w:t>
            </w:r>
          </w:p>
          <w:p w:rsidR="00F51963" w:rsidRDefault="00F51963" w:rsidP="00F51963">
            <w:pPr>
              <w:pStyle w:val="a4"/>
            </w:pPr>
            <w:r>
              <w:t>- от 31.08.2016 № 274-п «Об утверждении основных направлений государственной долговой политики Ивановской области на период до 2030 года»;</w:t>
            </w:r>
          </w:p>
          <w:p w:rsidR="00F51963" w:rsidRDefault="00F51963" w:rsidP="00F51963">
            <w:pPr>
              <w:pStyle w:val="a4"/>
            </w:pPr>
            <w:r>
              <w:t xml:space="preserve">-  от 24.08.2017 № 324-п «О внесении изменения в постановление Правительства Ивановской области от 31.08.2016 № 274-п </w:t>
            </w:r>
            <w:r>
              <w:br/>
              <w:t>«Об утверждении основных направлений государственной долговой политики Ивановской области на период до 2030 года»;</w:t>
            </w:r>
          </w:p>
          <w:p w:rsidR="00F51963" w:rsidRDefault="00F51963" w:rsidP="00F51963">
            <w:pPr>
              <w:pStyle w:val="a4"/>
            </w:pPr>
            <w:r>
              <w:t xml:space="preserve">- от 18.07.2018 № 211-п «О внесении изменения в постановление Правительства Ивановской области от 31.08.2016 № 274-п </w:t>
            </w:r>
            <w:r>
              <w:br/>
              <w:t>«Об утверждении основных направлений государственной долговой политики Ивановской области на период до 2030 года»;</w:t>
            </w:r>
          </w:p>
          <w:p w:rsidR="00114DCD" w:rsidRDefault="00F51963" w:rsidP="00650F22">
            <w:pPr>
              <w:pStyle w:val="a4"/>
            </w:pPr>
            <w:r>
              <w:t xml:space="preserve">- от 28.01.2019 </w:t>
            </w:r>
            <w:r w:rsidR="00650F22">
              <w:t>№</w:t>
            </w:r>
            <w:r>
              <w:t xml:space="preserve"> 21-п «О внесении изменения в постановление Правительства Ивановской области от 31.08.2016 № 274-п </w:t>
            </w:r>
            <w:r>
              <w:br/>
            </w:r>
            <w:r>
              <w:lastRenderedPageBreak/>
              <w:t>«Об утверждении основных направлений государственной долговой политики Ивановской области на период до 2030 года»</w:t>
            </w:r>
            <w:r w:rsidR="002B4990">
              <w:t>.</w:t>
            </w:r>
          </w:p>
          <w:p w:rsidR="002B4990" w:rsidRDefault="002B4990" w:rsidP="00650F22">
            <w:pPr>
              <w:pStyle w:val="a4"/>
            </w:pPr>
            <w:r>
              <w:t>3. Настоящее постановление вступает в силу с 01.01.2020.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E416C" w:rsidTr="00CE416C">
        <w:tc>
          <w:tcPr>
            <w:tcW w:w="4590" w:type="dxa"/>
            <w:hideMark/>
          </w:tcPr>
          <w:p w:rsidR="00460626" w:rsidRPr="00460626" w:rsidRDefault="00CF149E" w:rsidP="00460626">
            <w:pPr>
              <w:pStyle w:val="a4"/>
              <w:ind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CE416C" w:rsidRDefault="00460626" w:rsidP="00460626">
            <w:pPr>
              <w:pStyle w:val="a4"/>
              <w:ind w:right="-156" w:firstLine="0"/>
              <w:jc w:val="left"/>
            </w:pPr>
            <w:r w:rsidRPr="00460626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E416C" w:rsidRDefault="00CE416C">
            <w:pPr>
              <w:pStyle w:val="a4"/>
              <w:ind w:firstLine="0"/>
              <w:jc w:val="right"/>
              <w:rPr>
                <w:b/>
              </w:rPr>
            </w:pPr>
          </w:p>
          <w:p w:rsidR="00CE416C" w:rsidRDefault="00460626">
            <w:pPr>
              <w:pStyle w:val="a4"/>
              <w:ind w:firstLine="0"/>
              <w:jc w:val="right"/>
              <w:rPr>
                <w:lang w:val="en-US"/>
              </w:rPr>
            </w:pPr>
            <w:r w:rsidRPr="00460626">
              <w:rPr>
                <w:b/>
              </w:rPr>
              <w:t>С.С. Воскресенский</w:t>
            </w:r>
          </w:p>
        </w:tc>
      </w:tr>
    </w:tbl>
    <w:p w:rsidR="00D65A60" w:rsidRDefault="00D65A60" w:rsidP="00C21F7E"/>
    <w:p w:rsidR="00EB5741" w:rsidRDefault="00EB5741" w:rsidP="00C21F7E"/>
    <w:p w:rsidR="00EB5741" w:rsidRDefault="00EB5741" w:rsidP="00C21F7E"/>
    <w:p w:rsidR="00EB5741" w:rsidRDefault="00EB5741" w:rsidP="00C21F7E"/>
    <w:p w:rsidR="00EB5741" w:rsidRDefault="00EB5741" w:rsidP="00C21F7E"/>
    <w:p w:rsidR="00EB5741" w:rsidRDefault="00EB5741" w:rsidP="00C21F7E"/>
    <w:p w:rsidR="00EB5741" w:rsidRDefault="00EB5741" w:rsidP="00C21F7E"/>
    <w:p w:rsidR="00EB5741" w:rsidRDefault="00EB5741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F51963" w:rsidRDefault="00F51963" w:rsidP="00C21F7E"/>
    <w:p w:rsidR="00AA0B64" w:rsidRDefault="00AA0B64" w:rsidP="00C21F7E"/>
    <w:p w:rsidR="00AA0889" w:rsidRPr="00AA0889" w:rsidRDefault="00AA0889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  <w:r w:rsidRPr="00AA0889">
        <w:rPr>
          <w:sz w:val="28"/>
          <w:szCs w:val="28"/>
        </w:rPr>
        <w:lastRenderedPageBreak/>
        <w:t>Приложение</w:t>
      </w:r>
      <w:r w:rsidR="008939FE">
        <w:rPr>
          <w:sz w:val="28"/>
          <w:szCs w:val="28"/>
        </w:rPr>
        <w:t xml:space="preserve"> </w:t>
      </w:r>
      <w:r w:rsidRPr="00AA0889">
        <w:rPr>
          <w:sz w:val="28"/>
          <w:szCs w:val="28"/>
        </w:rPr>
        <w:t>к постановлению</w:t>
      </w:r>
      <w:r w:rsidR="008939FE">
        <w:rPr>
          <w:sz w:val="28"/>
          <w:szCs w:val="28"/>
        </w:rPr>
        <w:t xml:space="preserve"> </w:t>
      </w:r>
      <w:r w:rsidRPr="00AA0889">
        <w:rPr>
          <w:sz w:val="28"/>
          <w:szCs w:val="28"/>
        </w:rPr>
        <w:t>Правительства Ивановской</w:t>
      </w:r>
      <w:r w:rsidR="008939FE">
        <w:rPr>
          <w:sz w:val="28"/>
          <w:szCs w:val="28"/>
        </w:rPr>
        <w:t xml:space="preserve"> области</w:t>
      </w:r>
    </w:p>
    <w:p w:rsidR="00AA0889" w:rsidRDefault="00BF437B" w:rsidP="009B2751">
      <w:pPr>
        <w:autoSpaceDE w:val="0"/>
        <w:autoSpaceDN w:val="0"/>
        <w:adjustRightInd w:val="0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295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r w:rsidR="00A7295E">
        <w:rPr>
          <w:sz w:val="28"/>
          <w:szCs w:val="28"/>
        </w:rPr>
        <w:t>_____</w:t>
      </w:r>
      <w:r>
        <w:rPr>
          <w:sz w:val="28"/>
          <w:szCs w:val="28"/>
        </w:rPr>
        <w:t>-</w:t>
      </w:r>
      <w:r w:rsidR="008939FE">
        <w:rPr>
          <w:sz w:val="28"/>
          <w:szCs w:val="28"/>
        </w:rPr>
        <w:t>п</w:t>
      </w:r>
    </w:p>
    <w:p w:rsidR="00A7295E" w:rsidRDefault="00A7295E" w:rsidP="009B2751">
      <w:pPr>
        <w:autoSpaceDE w:val="0"/>
        <w:autoSpaceDN w:val="0"/>
        <w:adjustRightInd w:val="0"/>
        <w:ind w:left="4678"/>
        <w:jc w:val="right"/>
        <w:rPr>
          <w:sz w:val="28"/>
          <w:szCs w:val="28"/>
        </w:rPr>
      </w:pPr>
    </w:p>
    <w:p w:rsidR="00AA0889" w:rsidRPr="00AA0889" w:rsidRDefault="00AA0889" w:rsidP="00AA0889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62BE8" w:rsidRDefault="00262BE8" w:rsidP="00AA088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A0889" w:rsidRPr="00AA0889" w:rsidRDefault="00AA0889" w:rsidP="008B773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0889">
        <w:rPr>
          <w:rFonts w:eastAsia="Calibri"/>
          <w:b/>
          <w:sz w:val="28"/>
          <w:szCs w:val="28"/>
          <w:lang w:eastAsia="en-US"/>
        </w:rPr>
        <w:t>Основные направления государственной долговой политики Ива</w:t>
      </w:r>
      <w:r w:rsidR="00CC3695">
        <w:rPr>
          <w:rFonts w:eastAsia="Calibri"/>
          <w:b/>
          <w:sz w:val="28"/>
          <w:szCs w:val="28"/>
          <w:lang w:eastAsia="en-US"/>
        </w:rPr>
        <w:t xml:space="preserve">новской области на </w:t>
      </w:r>
      <w:r w:rsidR="00F51963">
        <w:rPr>
          <w:rFonts w:eastAsia="Calibri"/>
          <w:b/>
          <w:sz w:val="28"/>
          <w:szCs w:val="28"/>
          <w:lang w:eastAsia="en-US"/>
        </w:rPr>
        <w:t xml:space="preserve">2020 – 2022 годы и на </w:t>
      </w:r>
      <w:r w:rsidR="00CC3695">
        <w:rPr>
          <w:rFonts w:eastAsia="Calibri"/>
          <w:b/>
          <w:sz w:val="28"/>
          <w:szCs w:val="28"/>
          <w:lang w:eastAsia="en-US"/>
        </w:rPr>
        <w:t>период до 203</w:t>
      </w:r>
      <w:r w:rsidRPr="00AA0889">
        <w:rPr>
          <w:rFonts w:eastAsia="Calibri"/>
          <w:b/>
          <w:sz w:val="28"/>
          <w:szCs w:val="28"/>
          <w:lang w:eastAsia="en-US"/>
        </w:rPr>
        <w:t>0 года</w:t>
      </w:r>
    </w:p>
    <w:p w:rsidR="00AA0889" w:rsidRDefault="00AA0889" w:rsidP="00BC50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53279" w:rsidRDefault="00C53279" w:rsidP="008B773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B773C" w:rsidRDefault="008B773C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Раздел 1.</w:t>
      </w:r>
    </w:p>
    <w:p w:rsidR="008B773C" w:rsidRDefault="008B773C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8B773C" w:rsidRDefault="008B773C" w:rsidP="008B773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E08B8" w:rsidRDefault="001B1D08" w:rsidP="008B77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786E50">
        <w:rPr>
          <w:rFonts w:eastAsia="Calibri"/>
          <w:sz w:val="28"/>
          <w:szCs w:val="28"/>
          <w:lang w:eastAsia="en-US"/>
        </w:rPr>
        <w:t>осударственн</w:t>
      </w:r>
      <w:r>
        <w:rPr>
          <w:rFonts w:eastAsia="Calibri"/>
          <w:sz w:val="28"/>
          <w:szCs w:val="28"/>
          <w:lang w:eastAsia="en-US"/>
        </w:rPr>
        <w:t>ая</w:t>
      </w:r>
      <w:r w:rsidR="00786E50">
        <w:rPr>
          <w:rFonts w:eastAsia="Calibri"/>
          <w:sz w:val="28"/>
          <w:szCs w:val="28"/>
          <w:lang w:eastAsia="en-US"/>
        </w:rPr>
        <w:t xml:space="preserve"> </w:t>
      </w:r>
      <w:r w:rsidR="00786E50" w:rsidRPr="00786E50">
        <w:rPr>
          <w:rFonts w:eastAsia="Calibri"/>
          <w:sz w:val="28"/>
          <w:szCs w:val="28"/>
          <w:lang w:eastAsia="en-US"/>
        </w:rPr>
        <w:t>долгов</w:t>
      </w:r>
      <w:r>
        <w:rPr>
          <w:rFonts w:eastAsia="Calibri"/>
          <w:sz w:val="28"/>
          <w:szCs w:val="28"/>
          <w:lang w:eastAsia="en-US"/>
        </w:rPr>
        <w:t>ая политика</w:t>
      </w:r>
      <w:r w:rsidR="00786E50" w:rsidRPr="00786E50">
        <w:rPr>
          <w:rFonts w:eastAsia="Calibri"/>
          <w:sz w:val="28"/>
          <w:szCs w:val="28"/>
          <w:lang w:eastAsia="en-US"/>
        </w:rPr>
        <w:t xml:space="preserve"> </w:t>
      </w:r>
      <w:r w:rsidR="00786E50" w:rsidRPr="00C34FCA">
        <w:rPr>
          <w:rFonts w:eastAsia="Calibri"/>
          <w:sz w:val="28"/>
          <w:szCs w:val="28"/>
          <w:lang w:eastAsia="en-US"/>
        </w:rPr>
        <w:t xml:space="preserve">Ивановской области (далее – долговая политика) </w:t>
      </w:r>
      <w:r w:rsidRPr="001B1D08">
        <w:rPr>
          <w:rFonts w:eastAsia="Calibri"/>
          <w:sz w:val="28"/>
          <w:szCs w:val="28"/>
          <w:lang w:eastAsia="en-US"/>
        </w:rPr>
        <w:t>является частью бюджетн</w:t>
      </w:r>
      <w:r>
        <w:rPr>
          <w:rFonts w:eastAsia="Calibri"/>
          <w:sz w:val="28"/>
          <w:szCs w:val="28"/>
          <w:lang w:eastAsia="en-US"/>
        </w:rPr>
        <w:t xml:space="preserve">ой политики Ивановской области и определяет </w:t>
      </w:r>
      <w:r w:rsidR="00CD399E" w:rsidRPr="00CD399E">
        <w:rPr>
          <w:rFonts w:eastAsia="Calibri"/>
          <w:sz w:val="28"/>
          <w:szCs w:val="28"/>
          <w:lang w:eastAsia="en-US"/>
        </w:rPr>
        <w:t xml:space="preserve"> стратеги</w:t>
      </w:r>
      <w:r w:rsidR="0073126B">
        <w:rPr>
          <w:rFonts w:eastAsia="Calibri"/>
          <w:sz w:val="28"/>
          <w:szCs w:val="28"/>
          <w:lang w:eastAsia="en-US"/>
        </w:rPr>
        <w:t>ю</w:t>
      </w:r>
      <w:r w:rsidR="00CD399E" w:rsidRPr="00CD399E">
        <w:rPr>
          <w:rFonts w:eastAsia="Calibri"/>
          <w:sz w:val="28"/>
          <w:szCs w:val="28"/>
          <w:lang w:eastAsia="en-US"/>
        </w:rPr>
        <w:t xml:space="preserve"> </w:t>
      </w:r>
      <w:r w:rsidR="00CD399E" w:rsidRPr="00786E50">
        <w:rPr>
          <w:rFonts w:eastAsia="Calibri"/>
          <w:sz w:val="28"/>
          <w:szCs w:val="28"/>
          <w:lang w:eastAsia="en-US"/>
        </w:rPr>
        <w:t xml:space="preserve">управления </w:t>
      </w:r>
      <w:r w:rsidR="00CD399E">
        <w:rPr>
          <w:rFonts w:eastAsia="Calibri"/>
          <w:sz w:val="28"/>
          <w:szCs w:val="28"/>
          <w:lang w:eastAsia="en-US"/>
        </w:rPr>
        <w:t>государственным долгом Иванов</w:t>
      </w:r>
      <w:r w:rsidR="00CD399E" w:rsidRPr="00786E50">
        <w:rPr>
          <w:rFonts w:eastAsia="Calibri"/>
          <w:sz w:val="28"/>
          <w:szCs w:val="28"/>
          <w:lang w:eastAsia="en-US"/>
        </w:rPr>
        <w:t>ской области</w:t>
      </w:r>
      <w:r w:rsidR="00CD399E">
        <w:rPr>
          <w:rFonts w:eastAsia="Calibri"/>
          <w:sz w:val="28"/>
          <w:szCs w:val="28"/>
          <w:lang w:eastAsia="en-US"/>
        </w:rPr>
        <w:t xml:space="preserve"> (далее – государственный долг), направленную</w:t>
      </w:r>
      <w:r w:rsidR="00CD399E" w:rsidRPr="00CD399E">
        <w:rPr>
          <w:rFonts w:eastAsia="Calibri"/>
          <w:sz w:val="28"/>
          <w:szCs w:val="28"/>
          <w:lang w:eastAsia="en-US"/>
        </w:rPr>
        <w:t xml:space="preserve"> на эффективное регулирование государственного долга, поддержание его объема на</w:t>
      </w:r>
      <w:r w:rsidR="008B773C">
        <w:rPr>
          <w:rFonts w:eastAsia="Calibri"/>
          <w:sz w:val="28"/>
          <w:szCs w:val="28"/>
          <w:lang w:eastAsia="en-US"/>
        </w:rPr>
        <w:t xml:space="preserve"> оптимальном уровне, сокращение</w:t>
      </w:r>
      <w:r w:rsidR="00CD399E" w:rsidRPr="00CD399E">
        <w:rPr>
          <w:rFonts w:eastAsia="Calibri"/>
          <w:sz w:val="28"/>
          <w:szCs w:val="28"/>
          <w:lang w:eastAsia="en-US"/>
        </w:rPr>
        <w:t xml:space="preserve"> стоимости его обслуживания, равномерное распределение во времени платежей, связанных с погашением государственного долга</w:t>
      </w:r>
      <w:r w:rsidR="00170898" w:rsidRPr="00170898">
        <w:rPr>
          <w:rFonts w:eastAsia="Calibri"/>
          <w:sz w:val="28"/>
          <w:szCs w:val="28"/>
          <w:lang w:eastAsia="en-US"/>
        </w:rPr>
        <w:t xml:space="preserve"> </w:t>
      </w:r>
      <w:r w:rsidR="00170898" w:rsidRPr="00CD399E">
        <w:rPr>
          <w:rFonts w:eastAsia="Calibri"/>
          <w:sz w:val="28"/>
          <w:szCs w:val="28"/>
          <w:lang w:eastAsia="en-US"/>
        </w:rPr>
        <w:t xml:space="preserve">и </w:t>
      </w:r>
      <w:r w:rsidR="00170898">
        <w:rPr>
          <w:rFonts w:eastAsia="Calibri"/>
          <w:sz w:val="28"/>
          <w:szCs w:val="28"/>
          <w:lang w:eastAsia="en-US"/>
        </w:rPr>
        <w:t xml:space="preserve">расходами на его </w:t>
      </w:r>
      <w:r w:rsidR="00170898" w:rsidRPr="00CD399E">
        <w:rPr>
          <w:rFonts w:eastAsia="Calibri"/>
          <w:sz w:val="28"/>
          <w:szCs w:val="28"/>
          <w:lang w:eastAsia="en-US"/>
        </w:rPr>
        <w:t>обслуживание</w:t>
      </w:r>
      <w:r w:rsidR="00CD399E" w:rsidRPr="00CD399E">
        <w:rPr>
          <w:rFonts w:eastAsia="Calibri"/>
          <w:sz w:val="28"/>
          <w:szCs w:val="28"/>
          <w:lang w:eastAsia="en-US"/>
        </w:rPr>
        <w:t xml:space="preserve">, снижение влияния долговой нагрузки на </w:t>
      </w:r>
      <w:r w:rsidR="00CD399E">
        <w:rPr>
          <w:rFonts w:eastAsia="Calibri"/>
          <w:sz w:val="28"/>
          <w:szCs w:val="28"/>
          <w:lang w:eastAsia="en-US"/>
        </w:rPr>
        <w:t xml:space="preserve">областной </w:t>
      </w:r>
      <w:r w:rsidR="00CD399E" w:rsidRPr="00CD399E">
        <w:rPr>
          <w:rFonts w:eastAsia="Calibri"/>
          <w:sz w:val="28"/>
          <w:szCs w:val="28"/>
          <w:lang w:eastAsia="en-US"/>
        </w:rPr>
        <w:t>бюджет</w:t>
      </w:r>
      <w:r w:rsidR="00CD399E">
        <w:rPr>
          <w:rFonts w:eastAsia="Calibri"/>
          <w:sz w:val="28"/>
          <w:szCs w:val="28"/>
          <w:lang w:eastAsia="en-US"/>
        </w:rPr>
        <w:t>.</w:t>
      </w:r>
    </w:p>
    <w:p w:rsidR="002B4990" w:rsidRDefault="002B4990" w:rsidP="002B49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465">
        <w:rPr>
          <w:sz w:val="28"/>
          <w:szCs w:val="28"/>
        </w:rPr>
        <w:t xml:space="preserve">С 2014 года </w:t>
      </w:r>
      <w:r>
        <w:rPr>
          <w:sz w:val="28"/>
          <w:szCs w:val="28"/>
        </w:rPr>
        <w:t>долговая политика реализуется с учетом</w:t>
      </w:r>
      <w:r w:rsidRPr="00987465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, предусмотренных</w:t>
      </w:r>
      <w:r w:rsidRPr="00987465">
        <w:rPr>
          <w:sz w:val="28"/>
          <w:szCs w:val="28"/>
        </w:rPr>
        <w:t xml:space="preserve"> планом по росту доходов, оптимизации расходов и совершенствованию долговой политики Ивановской области на 2014 – 2024 годы, утвержденного распоряжением Правительства Ивановской области от 19.02.2014 № 27-рп</w:t>
      </w:r>
      <w:r>
        <w:rPr>
          <w:sz w:val="28"/>
          <w:szCs w:val="28"/>
        </w:rPr>
        <w:t xml:space="preserve"> (далее – план по оздоровлению финансов)</w:t>
      </w:r>
      <w:r w:rsidRPr="00987465">
        <w:rPr>
          <w:sz w:val="28"/>
          <w:szCs w:val="28"/>
        </w:rPr>
        <w:t>, государственной программой Ивановской области «Долгосрочная сбалансированность и устойчивость бюджетной системы Ивановской области», утвержденной постановлением Правительства Ивановской области от 30.10.2013 № 429-п.</w:t>
      </w:r>
    </w:p>
    <w:p w:rsidR="007B7304" w:rsidRDefault="00886FE7" w:rsidP="00A106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6E08B8">
        <w:rPr>
          <w:rFonts w:eastAsia="Calibri"/>
          <w:sz w:val="28"/>
          <w:szCs w:val="28"/>
          <w:lang w:eastAsia="en-US"/>
        </w:rPr>
        <w:t xml:space="preserve"> 2018 года долговая политика реализуется </w:t>
      </w:r>
      <w:r>
        <w:rPr>
          <w:rFonts w:eastAsia="Calibri"/>
          <w:sz w:val="28"/>
          <w:szCs w:val="28"/>
          <w:lang w:eastAsia="en-US"/>
        </w:rPr>
        <w:t xml:space="preserve">в условиях </w:t>
      </w:r>
      <w:r w:rsidRPr="003068E8">
        <w:rPr>
          <w:rFonts w:eastAsia="Calibri"/>
          <w:sz w:val="28"/>
          <w:szCs w:val="28"/>
          <w:lang w:eastAsia="en-US"/>
        </w:rPr>
        <w:t xml:space="preserve">принятых </w:t>
      </w:r>
      <w:r>
        <w:rPr>
          <w:rFonts w:eastAsia="Calibri"/>
          <w:sz w:val="28"/>
          <w:szCs w:val="28"/>
          <w:lang w:eastAsia="en-US"/>
        </w:rPr>
        <w:t xml:space="preserve">Ивановской областью </w:t>
      </w:r>
      <w:r w:rsidRPr="003068E8">
        <w:rPr>
          <w:rFonts w:eastAsia="Calibri"/>
          <w:sz w:val="28"/>
          <w:szCs w:val="28"/>
          <w:lang w:eastAsia="en-US"/>
        </w:rPr>
        <w:t xml:space="preserve">обязательств </w:t>
      </w:r>
      <w:r>
        <w:rPr>
          <w:rFonts w:eastAsia="Calibri"/>
          <w:sz w:val="28"/>
          <w:szCs w:val="28"/>
          <w:lang w:eastAsia="en-US"/>
        </w:rPr>
        <w:t xml:space="preserve">перед Российской Федерацией </w:t>
      </w:r>
      <w:r w:rsidRPr="003068E8">
        <w:rPr>
          <w:rFonts w:eastAsia="Calibri"/>
          <w:sz w:val="28"/>
          <w:szCs w:val="28"/>
          <w:lang w:eastAsia="en-US"/>
        </w:rPr>
        <w:t xml:space="preserve">по обеспечению </w:t>
      </w:r>
      <w:r>
        <w:rPr>
          <w:rFonts w:eastAsia="Calibri"/>
          <w:sz w:val="28"/>
          <w:szCs w:val="28"/>
          <w:lang w:eastAsia="en-US"/>
        </w:rPr>
        <w:t>выполнения</w:t>
      </w:r>
      <w:r w:rsidRPr="003068E8">
        <w:rPr>
          <w:rFonts w:eastAsia="Calibri"/>
          <w:sz w:val="28"/>
          <w:szCs w:val="28"/>
          <w:lang w:eastAsia="en-US"/>
        </w:rPr>
        <w:t xml:space="preserve"> условий реструктуризации бюджетных кредитов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F25BFF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редоставленных</w:t>
      </w:r>
      <w:r w:rsidRPr="00886FE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2015 – 2017 годах </w:t>
      </w:r>
      <w:r w:rsidRPr="00886FE7">
        <w:rPr>
          <w:rFonts w:eastAsia="Calibri"/>
          <w:sz w:val="28"/>
          <w:szCs w:val="28"/>
          <w:lang w:eastAsia="en-US"/>
        </w:rPr>
        <w:t xml:space="preserve">бюджету Ивановской области из федерального бюджета бюджетных кредитов для частичного покрытия дефицита бюджета </w:t>
      </w:r>
      <w:r w:rsidR="00584D65">
        <w:rPr>
          <w:rFonts w:eastAsia="Calibri"/>
          <w:sz w:val="28"/>
          <w:szCs w:val="28"/>
          <w:lang w:eastAsia="en-US"/>
        </w:rPr>
        <w:t>Ивановской области.</w:t>
      </w:r>
      <w:r w:rsidR="007B7304" w:rsidRPr="007B7304">
        <w:rPr>
          <w:rFonts w:eastAsia="Calibri"/>
          <w:sz w:val="28"/>
          <w:szCs w:val="28"/>
          <w:lang w:eastAsia="en-US"/>
        </w:rPr>
        <w:t xml:space="preserve"> </w:t>
      </w:r>
      <w:r w:rsidR="007B7304">
        <w:rPr>
          <w:rFonts w:eastAsia="Calibri"/>
          <w:sz w:val="28"/>
          <w:szCs w:val="28"/>
          <w:lang w:eastAsia="en-US"/>
        </w:rPr>
        <w:t xml:space="preserve">Реструктуризация </w:t>
      </w:r>
      <w:r w:rsidR="00584D65">
        <w:rPr>
          <w:rFonts w:eastAsia="Calibri"/>
          <w:sz w:val="28"/>
          <w:szCs w:val="28"/>
          <w:lang w:eastAsia="en-US"/>
        </w:rPr>
        <w:t xml:space="preserve">бюджетных кредитов </w:t>
      </w:r>
      <w:r w:rsidR="007B7304">
        <w:rPr>
          <w:rFonts w:eastAsia="Calibri"/>
          <w:sz w:val="28"/>
          <w:szCs w:val="28"/>
          <w:lang w:eastAsia="en-US"/>
        </w:rPr>
        <w:t>оформлена в декабре 2017 года</w:t>
      </w:r>
      <w:r w:rsidR="00094B26">
        <w:rPr>
          <w:rFonts w:eastAsia="Calibri"/>
          <w:sz w:val="28"/>
          <w:szCs w:val="28"/>
          <w:lang w:eastAsia="en-US"/>
        </w:rPr>
        <w:t xml:space="preserve"> </w:t>
      </w:r>
      <w:r w:rsidR="00094B26" w:rsidRPr="00094B26">
        <w:rPr>
          <w:rFonts w:eastAsia="Calibri"/>
          <w:sz w:val="28"/>
          <w:szCs w:val="28"/>
          <w:lang w:eastAsia="en-US"/>
        </w:rPr>
        <w:t>на условиях рассрочки исполнения обязательств до 2024 года</w:t>
      </w:r>
      <w:r w:rsidR="007B7304">
        <w:rPr>
          <w:rFonts w:eastAsia="Calibri"/>
          <w:sz w:val="28"/>
          <w:szCs w:val="28"/>
          <w:lang w:eastAsia="en-US"/>
        </w:rPr>
        <w:t xml:space="preserve"> путем заключения между </w:t>
      </w:r>
      <w:r w:rsidR="007B7304" w:rsidRPr="00886FE7">
        <w:rPr>
          <w:rFonts w:eastAsia="Calibri"/>
          <w:sz w:val="28"/>
          <w:szCs w:val="28"/>
          <w:lang w:eastAsia="en-US"/>
        </w:rPr>
        <w:t>Министерством финансов Российской Федерации и Департаментом финансов Ивановской области</w:t>
      </w:r>
      <w:r w:rsidR="007B7304">
        <w:rPr>
          <w:rFonts w:eastAsia="Calibri"/>
          <w:sz w:val="28"/>
          <w:szCs w:val="28"/>
          <w:lang w:eastAsia="en-US"/>
        </w:rPr>
        <w:t xml:space="preserve"> дополнительных</w:t>
      </w:r>
      <w:r w:rsidR="007B7304" w:rsidRPr="003068E8">
        <w:rPr>
          <w:rFonts w:eastAsia="Calibri"/>
          <w:sz w:val="28"/>
          <w:szCs w:val="28"/>
          <w:lang w:eastAsia="en-US"/>
        </w:rPr>
        <w:t xml:space="preserve"> соглашени</w:t>
      </w:r>
      <w:r w:rsidR="007B7304">
        <w:rPr>
          <w:rFonts w:eastAsia="Calibri"/>
          <w:sz w:val="28"/>
          <w:szCs w:val="28"/>
          <w:lang w:eastAsia="en-US"/>
        </w:rPr>
        <w:t xml:space="preserve">й к соглашениям </w:t>
      </w:r>
      <w:r w:rsidR="007B7304" w:rsidRPr="00886FE7">
        <w:rPr>
          <w:rFonts w:eastAsia="Calibri"/>
          <w:sz w:val="28"/>
          <w:szCs w:val="28"/>
          <w:lang w:eastAsia="en-US"/>
        </w:rPr>
        <w:t>о предоставлении бюджету Ивановской области из федерального бюджета бюджетных кредитов для частичного покрытия дефицита бюджета Ивановской области</w:t>
      </w:r>
      <w:r w:rsidR="007B7304">
        <w:rPr>
          <w:rFonts w:eastAsia="Calibri"/>
          <w:sz w:val="28"/>
          <w:szCs w:val="28"/>
          <w:lang w:eastAsia="en-US"/>
        </w:rPr>
        <w:t xml:space="preserve"> </w:t>
      </w:r>
      <w:r w:rsidR="007B7304" w:rsidRPr="00886FE7">
        <w:rPr>
          <w:rFonts w:eastAsia="Calibri"/>
          <w:sz w:val="28"/>
          <w:szCs w:val="28"/>
          <w:lang w:eastAsia="en-US"/>
        </w:rPr>
        <w:t>(далее – соглашения о реструктуризации</w:t>
      </w:r>
      <w:r w:rsidR="002B4990">
        <w:rPr>
          <w:rFonts w:eastAsia="Calibri"/>
          <w:sz w:val="28"/>
          <w:szCs w:val="28"/>
          <w:lang w:eastAsia="en-US"/>
        </w:rPr>
        <w:t xml:space="preserve"> бюджетных кредитов</w:t>
      </w:r>
      <w:r w:rsidR="00650F22">
        <w:rPr>
          <w:rFonts w:eastAsia="Calibri"/>
          <w:sz w:val="28"/>
          <w:szCs w:val="28"/>
          <w:lang w:eastAsia="en-US"/>
        </w:rPr>
        <w:t>)</w:t>
      </w:r>
      <w:r w:rsidR="007B7304">
        <w:rPr>
          <w:rFonts w:eastAsia="Calibri"/>
          <w:sz w:val="28"/>
          <w:szCs w:val="28"/>
          <w:lang w:eastAsia="en-US"/>
        </w:rPr>
        <w:t xml:space="preserve">, которые </w:t>
      </w:r>
      <w:r w:rsidR="007B7304">
        <w:rPr>
          <w:rFonts w:eastAsia="Calibri"/>
          <w:sz w:val="28"/>
          <w:szCs w:val="28"/>
          <w:lang w:eastAsia="en-US"/>
        </w:rPr>
        <w:lastRenderedPageBreak/>
        <w:t>содержат ряд обязательств</w:t>
      </w:r>
      <w:r w:rsidR="00650F22">
        <w:rPr>
          <w:rFonts w:eastAsia="Calibri"/>
          <w:sz w:val="28"/>
          <w:szCs w:val="28"/>
          <w:lang w:eastAsia="en-US"/>
        </w:rPr>
        <w:t>, в том числе</w:t>
      </w:r>
      <w:r w:rsidR="007B7304" w:rsidRPr="007B7304">
        <w:rPr>
          <w:rFonts w:eastAsia="Calibri"/>
          <w:sz w:val="28"/>
          <w:szCs w:val="28"/>
          <w:lang w:eastAsia="en-US"/>
        </w:rPr>
        <w:t xml:space="preserve"> п</w:t>
      </w:r>
      <w:r w:rsidR="00650F22">
        <w:rPr>
          <w:rFonts w:eastAsia="Calibri"/>
          <w:sz w:val="28"/>
          <w:szCs w:val="28"/>
          <w:lang w:eastAsia="en-US"/>
        </w:rPr>
        <w:t>о уровню дефицита областного бюджета и долговой нагрузки.</w:t>
      </w:r>
    </w:p>
    <w:p w:rsidR="00F964C4" w:rsidRDefault="00980519" w:rsidP="00A1063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rFonts w:eastAsia="Calibri"/>
          <w:sz w:val="28"/>
          <w:szCs w:val="28"/>
          <w:lang w:eastAsia="en-US"/>
        </w:rPr>
        <w:t>До</w:t>
      </w:r>
      <w:r w:rsidR="009A2786" w:rsidRPr="009C444F">
        <w:rPr>
          <w:rFonts w:eastAsia="Calibri"/>
          <w:sz w:val="28"/>
          <w:szCs w:val="28"/>
          <w:lang w:eastAsia="en-US"/>
        </w:rPr>
        <w:t xml:space="preserve">лговую политику </w:t>
      </w:r>
      <w:r w:rsidR="009A2786">
        <w:rPr>
          <w:rFonts w:eastAsia="Calibri"/>
          <w:sz w:val="28"/>
          <w:szCs w:val="28"/>
          <w:lang w:eastAsia="en-US"/>
        </w:rPr>
        <w:t>реализует</w:t>
      </w:r>
      <w:r w:rsidR="009A2786" w:rsidRPr="009C444F">
        <w:rPr>
          <w:rFonts w:eastAsia="Calibri"/>
          <w:sz w:val="28"/>
          <w:szCs w:val="28"/>
          <w:lang w:eastAsia="en-US"/>
        </w:rPr>
        <w:t xml:space="preserve"> Департамент финансов</w:t>
      </w:r>
      <w:r w:rsidR="009A2786">
        <w:rPr>
          <w:rFonts w:eastAsia="Calibri"/>
          <w:sz w:val="28"/>
          <w:szCs w:val="28"/>
          <w:lang w:eastAsia="en-US"/>
        </w:rPr>
        <w:t xml:space="preserve"> Ивановской области. </w:t>
      </w:r>
      <w:r w:rsidR="009A2786" w:rsidRPr="00C34FCA">
        <w:rPr>
          <w:rFonts w:eastAsia="Calibri"/>
          <w:sz w:val="28"/>
          <w:szCs w:val="28"/>
          <w:lang w:eastAsia="en-US"/>
        </w:rPr>
        <w:t xml:space="preserve">Информация о долговой политике является открытой и общедоступной. </w:t>
      </w:r>
      <w:r w:rsidR="009A2786">
        <w:rPr>
          <w:rFonts w:eastAsia="Calibri"/>
          <w:sz w:val="28"/>
          <w:szCs w:val="28"/>
          <w:lang w:eastAsia="en-US"/>
        </w:rPr>
        <w:t>С</w:t>
      </w:r>
      <w:r w:rsidR="009A2786" w:rsidRPr="00C34FCA">
        <w:rPr>
          <w:rFonts w:eastAsia="Calibri"/>
          <w:sz w:val="28"/>
          <w:szCs w:val="28"/>
          <w:lang w:eastAsia="en-US"/>
        </w:rPr>
        <w:t xml:space="preserve">ведения </w:t>
      </w:r>
      <w:r w:rsidR="009A2786">
        <w:rPr>
          <w:rFonts w:eastAsia="Calibri"/>
          <w:sz w:val="28"/>
          <w:szCs w:val="28"/>
          <w:lang w:eastAsia="en-US"/>
        </w:rPr>
        <w:t>о долговых обязательствах Ивановской области</w:t>
      </w:r>
      <w:r w:rsidR="00B8387E">
        <w:rPr>
          <w:rFonts w:eastAsia="Calibri"/>
          <w:sz w:val="28"/>
          <w:szCs w:val="28"/>
          <w:lang w:eastAsia="en-US"/>
        </w:rPr>
        <w:t xml:space="preserve"> (далее – долговые обязательства)</w:t>
      </w:r>
      <w:r w:rsidR="009A2786">
        <w:rPr>
          <w:rFonts w:eastAsia="Calibri"/>
          <w:sz w:val="28"/>
          <w:szCs w:val="28"/>
          <w:lang w:eastAsia="en-US"/>
        </w:rPr>
        <w:t xml:space="preserve"> размещаются</w:t>
      </w:r>
      <w:r w:rsidR="009A2786" w:rsidRPr="00C34FCA">
        <w:rPr>
          <w:rFonts w:eastAsia="Calibri"/>
          <w:sz w:val="28"/>
          <w:szCs w:val="28"/>
          <w:lang w:eastAsia="en-US"/>
        </w:rPr>
        <w:t xml:space="preserve"> на официальном сайте Департаме</w:t>
      </w:r>
      <w:r w:rsidR="009A2786">
        <w:rPr>
          <w:rFonts w:eastAsia="Calibri"/>
          <w:sz w:val="28"/>
          <w:szCs w:val="28"/>
          <w:lang w:eastAsia="en-US"/>
        </w:rPr>
        <w:t xml:space="preserve">нта финансов Ивановской области </w:t>
      </w:r>
      <w:r w:rsidR="009A2786" w:rsidRPr="00C34FCA">
        <w:rPr>
          <w:rFonts w:eastAsia="Calibri"/>
          <w:sz w:val="28"/>
          <w:szCs w:val="28"/>
          <w:lang w:eastAsia="en-US"/>
        </w:rPr>
        <w:t>в информаци</w:t>
      </w:r>
      <w:r w:rsidR="009A2786">
        <w:rPr>
          <w:rFonts w:eastAsia="Calibri"/>
          <w:sz w:val="28"/>
          <w:szCs w:val="28"/>
          <w:lang w:eastAsia="en-US"/>
        </w:rPr>
        <w:t xml:space="preserve">онно-телекоммуникационной сети </w:t>
      </w:r>
      <w:r w:rsidR="009A2786" w:rsidRPr="00C34FCA">
        <w:rPr>
          <w:rFonts w:eastAsia="Calibri"/>
          <w:sz w:val="28"/>
          <w:szCs w:val="28"/>
          <w:lang w:eastAsia="en-US"/>
        </w:rPr>
        <w:t>Интернет</w:t>
      </w:r>
      <w:r w:rsidR="009A2786">
        <w:rPr>
          <w:rFonts w:eastAsia="Calibri"/>
          <w:sz w:val="28"/>
          <w:szCs w:val="28"/>
          <w:lang w:eastAsia="en-US"/>
        </w:rPr>
        <w:t>, а также предоставляются в иных формах в соответствии с законодательством Российской Федерации</w:t>
      </w:r>
      <w:r w:rsidR="009A2786" w:rsidRPr="00C34FCA">
        <w:rPr>
          <w:rFonts w:eastAsia="Calibri"/>
          <w:sz w:val="28"/>
          <w:szCs w:val="28"/>
          <w:lang w:eastAsia="en-US"/>
        </w:rPr>
        <w:t>.</w:t>
      </w:r>
      <w:r w:rsidR="00EC4C0E" w:rsidRPr="00EC4C0E">
        <w:rPr>
          <w:sz w:val="22"/>
          <w:szCs w:val="22"/>
        </w:rPr>
        <w:t xml:space="preserve"> </w:t>
      </w:r>
    </w:p>
    <w:p w:rsidR="00B8387E" w:rsidRDefault="00B8387E" w:rsidP="00A1063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E1611" w:rsidRDefault="00F75B2F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Раздел </w:t>
      </w:r>
      <w:r w:rsidR="00B8387E">
        <w:rPr>
          <w:rFonts w:eastAsia="Calibri"/>
          <w:b/>
          <w:sz w:val="28"/>
          <w:szCs w:val="28"/>
          <w:lang w:eastAsia="en-US"/>
        </w:rPr>
        <w:t>2</w:t>
      </w:r>
      <w:r w:rsidR="00AA0889" w:rsidRPr="00AA0889">
        <w:rPr>
          <w:rFonts w:eastAsia="Calibri"/>
          <w:b/>
          <w:sz w:val="28"/>
          <w:szCs w:val="28"/>
          <w:lang w:eastAsia="en-US"/>
        </w:rPr>
        <w:t>.</w:t>
      </w:r>
    </w:p>
    <w:p w:rsidR="00AA0889" w:rsidRDefault="001A23D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Итоги реализации долговой политики</w:t>
      </w:r>
    </w:p>
    <w:p w:rsidR="009E16FD" w:rsidRDefault="009E16FD" w:rsidP="00AA088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987465" w:rsidRPr="00987465" w:rsidRDefault="00987465" w:rsidP="009874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 последние 5 лет динамика показателей долговой </w:t>
      </w:r>
      <w:r w:rsidR="002B4990">
        <w:rPr>
          <w:rFonts w:eastAsia="Calibri"/>
          <w:sz w:val="28"/>
          <w:szCs w:val="28"/>
          <w:lang w:eastAsia="en-US"/>
        </w:rPr>
        <w:t>политики</w:t>
      </w:r>
      <w:r w:rsidR="00C95F0A">
        <w:rPr>
          <w:rFonts w:eastAsia="Calibri"/>
          <w:sz w:val="28"/>
          <w:szCs w:val="28"/>
          <w:lang w:eastAsia="en-US"/>
        </w:rPr>
        <w:t xml:space="preserve"> сложилась </w:t>
      </w:r>
      <w:r>
        <w:rPr>
          <w:rFonts w:eastAsia="Calibri"/>
          <w:sz w:val="28"/>
          <w:szCs w:val="28"/>
          <w:lang w:eastAsia="en-US"/>
        </w:rPr>
        <w:t>следующим образом:</w:t>
      </w:r>
    </w:p>
    <w:p w:rsidR="003E2AA7" w:rsidRDefault="003E2AA7" w:rsidP="00AA088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12"/>
        <w:gridCol w:w="1349"/>
        <w:gridCol w:w="1350"/>
        <w:gridCol w:w="1350"/>
        <w:gridCol w:w="1350"/>
        <w:gridCol w:w="1350"/>
      </w:tblGrid>
      <w:tr w:rsidR="003E2AA7" w:rsidRPr="005420D4" w:rsidTr="00FC5995">
        <w:tc>
          <w:tcPr>
            <w:tcW w:w="2312" w:type="dxa"/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r w:rsidRPr="005420D4">
              <w:rPr>
                <w:rFonts w:eastAsia="Calibri"/>
                <w:b/>
                <w:sz w:val="22"/>
                <w:szCs w:val="22"/>
                <w:lang w:eastAsia="en-US"/>
              </w:rPr>
              <w:t>оказатель</w:t>
            </w:r>
          </w:p>
        </w:tc>
        <w:tc>
          <w:tcPr>
            <w:tcW w:w="1349" w:type="dxa"/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  <w:r w:rsidRPr="005420D4">
              <w:rPr>
                <w:rFonts w:eastAsia="Calibri"/>
                <w:b/>
                <w:sz w:val="22"/>
                <w:szCs w:val="22"/>
                <w:lang w:eastAsia="en-US"/>
              </w:rPr>
              <w:t>а 01.01.2015</w:t>
            </w:r>
          </w:p>
        </w:tc>
        <w:tc>
          <w:tcPr>
            <w:tcW w:w="1350" w:type="dxa"/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  <w:r w:rsidRPr="005420D4">
              <w:rPr>
                <w:rFonts w:eastAsia="Calibri"/>
                <w:b/>
                <w:sz w:val="22"/>
                <w:szCs w:val="22"/>
                <w:lang w:eastAsia="en-US"/>
              </w:rPr>
              <w:t>а 01.01.2016</w:t>
            </w:r>
          </w:p>
        </w:tc>
        <w:tc>
          <w:tcPr>
            <w:tcW w:w="1350" w:type="dxa"/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  <w:r w:rsidRPr="005420D4">
              <w:rPr>
                <w:rFonts w:eastAsia="Calibri"/>
                <w:b/>
                <w:sz w:val="22"/>
                <w:szCs w:val="22"/>
                <w:lang w:eastAsia="en-US"/>
              </w:rPr>
              <w:t>а 01.01.2017</w:t>
            </w:r>
          </w:p>
        </w:tc>
        <w:tc>
          <w:tcPr>
            <w:tcW w:w="1350" w:type="dxa"/>
          </w:tcPr>
          <w:p w:rsidR="003E2AA7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  <w:r w:rsidRPr="005420D4">
              <w:rPr>
                <w:rFonts w:eastAsia="Calibri"/>
                <w:b/>
                <w:sz w:val="22"/>
                <w:szCs w:val="22"/>
                <w:lang w:eastAsia="en-US"/>
              </w:rPr>
              <w:t>а 01.01.2018</w:t>
            </w:r>
          </w:p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</w:tcPr>
          <w:p w:rsidR="003E2AA7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 01.01.2019</w:t>
            </w:r>
          </w:p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3E2AA7" w:rsidRPr="005420D4" w:rsidTr="00FC5995">
        <w:tc>
          <w:tcPr>
            <w:tcW w:w="2312" w:type="dxa"/>
          </w:tcPr>
          <w:p w:rsidR="003E2AA7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Государственный долг (млрд. руб.)</w:t>
            </w:r>
          </w:p>
          <w:p w:rsidR="003E2AA7" w:rsidRPr="00B96E91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</w:tcPr>
          <w:p w:rsidR="003E2AA7" w:rsidRPr="005735A3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5A3">
              <w:rPr>
                <w:rFonts w:eastAsia="Calibri"/>
                <w:sz w:val="22"/>
                <w:szCs w:val="22"/>
                <w:lang w:eastAsia="en-US"/>
              </w:rPr>
              <w:t>12,3</w:t>
            </w:r>
          </w:p>
        </w:tc>
        <w:tc>
          <w:tcPr>
            <w:tcW w:w="1350" w:type="dxa"/>
          </w:tcPr>
          <w:p w:rsidR="003E2AA7" w:rsidRPr="005735A3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5A3">
              <w:rPr>
                <w:rFonts w:eastAsia="Calibri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1350" w:type="dxa"/>
          </w:tcPr>
          <w:p w:rsidR="003E2AA7" w:rsidRPr="005735A3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5A3">
              <w:rPr>
                <w:rFonts w:eastAsia="Calibri"/>
                <w:sz w:val="22"/>
                <w:szCs w:val="22"/>
                <w:lang w:eastAsia="en-US"/>
              </w:rPr>
              <w:t>16,8</w:t>
            </w:r>
          </w:p>
        </w:tc>
        <w:tc>
          <w:tcPr>
            <w:tcW w:w="1350" w:type="dxa"/>
          </w:tcPr>
          <w:p w:rsidR="003E2AA7" w:rsidRPr="005735A3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5A3">
              <w:rPr>
                <w:rFonts w:eastAsia="Calibri"/>
                <w:sz w:val="22"/>
                <w:szCs w:val="22"/>
                <w:lang w:eastAsia="en-US"/>
              </w:rPr>
              <w:t>16,77</w:t>
            </w:r>
          </w:p>
        </w:tc>
        <w:tc>
          <w:tcPr>
            <w:tcW w:w="1350" w:type="dxa"/>
          </w:tcPr>
          <w:p w:rsidR="003E2AA7" w:rsidRPr="005735A3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15,8</w:t>
            </w:r>
          </w:p>
        </w:tc>
      </w:tr>
      <w:tr w:rsidR="003E2AA7" w:rsidRPr="005420D4" w:rsidTr="00FC5995">
        <w:tc>
          <w:tcPr>
            <w:tcW w:w="2312" w:type="dxa"/>
          </w:tcPr>
          <w:p w:rsidR="003E2AA7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0D45FB">
              <w:rPr>
                <w:rFonts w:eastAsia="Calibri"/>
                <w:sz w:val="22"/>
                <w:szCs w:val="22"/>
                <w:lang w:eastAsia="en-US"/>
              </w:rPr>
              <w:t>олговая нагрузка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(%)</w:t>
            </w:r>
          </w:p>
          <w:p w:rsidR="003E2AA7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</w:tcPr>
          <w:p w:rsidR="003E2AA7" w:rsidRPr="005735A3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20D4">
              <w:rPr>
                <w:rFonts w:eastAsia="Calibri"/>
                <w:sz w:val="22"/>
                <w:szCs w:val="22"/>
                <w:lang w:eastAsia="en-US"/>
              </w:rPr>
              <w:t>75,7</w:t>
            </w:r>
          </w:p>
        </w:tc>
        <w:tc>
          <w:tcPr>
            <w:tcW w:w="1350" w:type="dxa"/>
          </w:tcPr>
          <w:p w:rsidR="003E2AA7" w:rsidRPr="005735A3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1ADC">
              <w:rPr>
                <w:rFonts w:eastAsia="Calibri"/>
                <w:sz w:val="22"/>
                <w:szCs w:val="22"/>
                <w:lang w:eastAsia="en-US"/>
              </w:rPr>
              <w:t>95,3</w:t>
            </w:r>
          </w:p>
        </w:tc>
        <w:tc>
          <w:tcPr>
            <w:tcW w:w="1350" w:type="dxa"/>
          </w:tcPr>
          <w:p w:rsidR="003E2AA7" w:rsidRPr="005735A3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88,8</w:t>
            </w:r>
          </w:p>
        </w:tc>
        <w:tc>
          <w:tcPr>
            <w:tcW w:w="1350" w:type="dxa"/>
          </w:tcPr>
          <w:p w:rsidR="003E2AA7" w:rsidRPr="005735A3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87,9</w:t>
            </w:r>
          </w:p>
        </w:tc>
        <w:tc>
          <w:tcPr>
            <w:tcW w:w="1350" w:type="dxa"/>
          </w:tcPr>
          <w:p w:rsidR="003E2AA7" w:rsidRPr="005735A3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76,1</w:t>
            </w:r>
          </w:p>
        </w:tc>
      </w:tr>
      <w:tr w:rsidR="003E2AA7" w:rsidRPr="005420D4" w:rsidTr="004246C0">
        <w:tc>
          <w:tcPr>
            <w:tcW w:w="2312" w:type="dxa"/>
            <w:tcBorders>
              <w:bottom w:val="single" w:sz="4" w:space="0" w:color="auto"/>
            </w:tcBorders>
          </w:tcPr>
          <w:p w:rsidR="003E2AA7" w:rsidRPr="00AA2BAE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AA2BAE">
              <w:rPr>
                <w:rFonts w:eastAsia="Calibri"/>
                <w:sz w:val="22"/>
                <w:szCs w:val="22"/>
                <w:lang w:eastAsia="en-US"/>
              </w:rPr>
              <w:t xml:space="preserve">олговая нагрузка по долговым обязательствам, возникающим </w:t>
            </w:r>
            <w:r>
              <w:rPr>
                <w:rFonts w:eastAsia="Calibri"/>
                <w:sz w:val="22"/>
                <w:szCs w:val="22"/>
                <w:lang w:eastAsia="en-US"/>
              </w:rPr>
              <w:t>из</w:t>
            </w:r>
            <w:r w:rsidRPr="00AA2BAE">
              <w:rPr>
                <w:rFonts w:eastAsia="Calibri"/>
                <w:sz w:val="22"/>
                <w:szCs w:val="22"/>
                <w:lang w:eastAsia="en-US"/>
              </w:rPr>
              <w:t xml:space="preserve"> государственны</w:t>
            </w:r>
            <w:r>
              <w:rPr>
                <w:rFonts w:eastAsia="Calibri"/>
                <w:sz w:val="22"/>
                <w:szCs w:val="22"/>
                <w:lang w:eastAsia="en-US"/>
              </w:rPr>
              <w:t>х ценных</w:t>
            </w:r>
            <w:r w:rsidRPr="00AA2BAE">
              <w:rPr>
                <w:rFonts w:eastAsia="Calibri"/>
                <w:sz w:val="22"/>
                <w:szCs w:val="22"/>
                <w:lang w:eastAsia="en-US"/>
              </w:rPr>
              <w:t xml:space="preserve"> бумаг Ивановской области, кредит</w:t>
            </w:r>
            <w:r>
              <w:rPr>
                <w:rFonts w:eastAsia="Calibri"/>
                <w:sz w:val="22"/>
                <w:szCs w:val="22"/>
                <w:lang w:eastAsia="en-US"/>
              </w:rPr>
              <w:t>ов</w:t>
            </w:r>
            <w:r w:rsidRPr="00AA2BAE">
              <w:rPr>
                <w:rFonts w:eastAsia="Calibri"/>
                <w:sz w:val="22"/>
                <w:szCs w:val="22"/>
                <w:lang w:eastAsia="en-US"/>
              </w:rPr>
              <w:t>, привлеченны</w:t>
            </w: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AA2BAE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  <w:p w:rsidR="003E2AA7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A2BA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608E7">
              <w:rPr>
                <w:rFonts w:eastAsia="Calibri"/>
                <w:sz w:val="22"/>
                <w:szCs w:val="22"/>
                <w:lang w:eastAsia="en-US"/>
              </w:rPr>
              <w:t>(%)</w:t>
            </w:r>
          </w:p>
          <w:p w:rsidR="003E2AA7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57,1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E2AA7" w:rsidRPr="00861ADC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85,9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E2AA7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56,2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E2AA7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39,7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E2AA7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33,9</w:t>
            </w:r>
          </w:p>
        </w:tc>
      </w:tr>
      <w:tr w:rsidR="003E2AA7" w:rsidRPr="005420D4" w:rsidTr="004246C0">
        <w:tc>
          <w:tcPr>
            <w:tcW w:w="2312" w:type="dxa"/>
            <w:tcBorders>
              <w:bottom w:val="single" w:sz="4" w:space="0" w:color="auto"/>
            </w:tcBorders>
          </w:tcPr>
          <w:p w:rsidR="003E2AA7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долговых</w:t>
            </w:r>
            <w:r w:rsidRPr="00922A0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обязательств, возникающих</w:t>
            </w:r>
            <w:r w:rsidRPr="00922A0B">
              <w:rPr>
                <w:rFonts w:eastAsia="Calibri"/>
                <w:sz w:val="22"/>
                <w:szCs w:val="22"/>
                <w:lang w:eastAsia="en-US"/>
              </w:rPr>
              <w:t xml:space="preserve"> из государственных ценных бумаг Ивановской области, кредитов, привлеченных от кредитных организаций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22A0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E121A">
              <w:rPr>
                <w:rFonts w:eastAsia="Calibri"/>
                <w:sz w:val="22"/>
                <w:szCs w:val="22"/>
                <w:lang w:eastAsia="en-US"/>
              </w:rPr>
              <w:t>в общем объеме долговых обязательств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(%), в том числе:</w:t>
            </w:r>
          </w:p>
          <w:p w:rsidR="003E2AA7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75,4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90,1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45,1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44,5</w:t>
            </w:r>
          </w:p>
        </w:tc>
      </w:tr>
      <w:tr w:rsidR="004246C0" w:rsidRPr="005420D4" w:rsidTr="004246C0">
        <w:tc>
          <w:tcPr>
            <w:tcW w:w="2312" w:type="dxa"/>
            <w:tcBorders>
              <w:top w:val="single" w:sz="4" w:space="0" w:color="auto"/>
              <w:bottom w:val="nil"/>
            </w:tcBorders>
          </w:tcPr>
          <w:p w:rsidR="004246C0" w:rsidRDefault="004246C0" w:rsidP="004246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Д</w:t>
            </w:r>
            <w:r w:rsidRPr="00D168F0">
              <w:rPr>
                <w:rFonts w:eastAsia="Calibri"/>
                <w:sz w:val="22"/>
                <w:szCs w:val="22"/>
                <w:lang w:eastAsia="en-US"/>
              </w:rPr>
              <w:t>оля долговых обязательств</w:t>
            </w:r>
            <w:r>
              <w:rPr>
                <w:rFonts w:eastAsia="Calibri"/>
                <w:sz w:val="22"/>
                <w:szCs w:val="22"/>
                <w:lang w:eastAsia="en-US"/>
              </w:rPr>
              <w:t>, возникающих</w:t>
            </w:r>
            <w:r w:rsidRPr="00D168F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из</w:t>
            </w:r>
            <w:r w:rsidRPr="00D168F0">
              <w:rPr>
                <w:rFonts w:eastAsia="Calibri"/>
                <w:sz w:val="22"/>
                <w:szCs w:val="22"/>
                <w:lang w:eastAsia="en-US"/>
              </w:rPr>
              <w:t xml:space="preserve"> государственны</w:t>
            </w: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D168F0">
              <w:rPr>
                <w:rFonts w:eastAsia="Calibri"/>
                <w:sz w:val="22"/>
                <w:szCs w:val="22"/>
                <w:lang w:eastAsia="en-US"/>
              </w:rPr>
              <w:t xml:space="preserve"> ценны</w:t>
            </w: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D168F0">
              <w:rPr>
                <w:rFonts w:eastAsia="Calibri"/>
                <w:sz w:val="22"/>
                <w:szCs w:val="22"/>
                <w:lang w:eastAsia="en-US"/>
              </w:rPr>
              <w:t xml:space="preserve"> бумаг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Ивановской области </w:t>
            </w:r>
            <w:r w:rsidRPr="00F56982">
              <w:rPr>
                <w:rFonts w:eastAsia="Calibri"/>
                <w:sz w:val="22"/>
                <w:szCs w:val="22"/>
                <w:lang w:eastAsia="en-US"/>
              </w:rPr>
              <w:t>в общем объеме долговых обязательств</w:t>
            </w:r>
            <w:r>
              <w:rPr>
                <w:rFonts w:eastAsia="Calibri"/>
                <w:sz w:val="22"/>
                <w:szCs w:val="22"/>
                <w:lang w:eastAsia="en-US"/>
              </w:rPr>
              <w:t>, в том числе (%):</w:t>
            </w:r>
          </w:p>
          <w:p w:rsidR="004246C0" w:rsidRDefault="004246C0" w:rsidP="004246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nil"/>
            </w:tcBorders>
          </w:tcPr>
          <w:p w:rsidR="004246C0" w:rsidRPr="005735A3" w:rsidRDefault="004246C0" w:rsidP="00424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:rsidR="004246C0" w:rsidRPr="005735A3" w:rsidRDefault="004246C0" w:rsidP="00424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:rsidR="004246C0" w:rsidRPr="005735A3" w:rsidRDefault="004246C0" w:rsidP="00424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:rsidR="004246C0" w:rsidRPr="005735A3" w:rsidRDefault="004246C0" w:rsidP="00424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:rsidR="004246C0" w:rsidRPr="005735A3" w:rsidRDefault="004246C0" w:rsidP="00424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4246C0" w:rsidRPr="005420D4" w:rsidTr="00FC5995">
        <w:tc>
          <w:tcPr>
            <w:tcW w:w="2312" w:type="dxa"/>
            <w:tcBorders>
              <w:top w:val="nil"/>
              <w:bottom w:val="nil"/>
            </w:tcBorders>
          </w:tcPr>
          <w:p w:rsidR="004246C0" w:rsidRDefault="004246C0" w:rsidP="004246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Краткосрочных</w:t>
            </w:r>
          </w:p>
          <w:p w:rsidR="004246C0" w:rsidRDefault="004246C0" w:rsidP="004246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(до 1 года) (%)</w:t>
            </w:r>
          </w:p>
          <w:p w:rsidR="004246C0" w:rsidRDefault="004246C0" w:rsidP="004246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246C0" w:rsidRPr="005735A3" w:rsidRDefault="004246C0" w:rsidP="00424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246C0" w:rsidRPr="005735A3" w:rsidRDefault="004246C0" w:rsidP="00424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246C0" w:rsidRPr="005735A3" w:rsidRDefault="004246C0" w:rsidP="00424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246C0" w:rsidRPr="005735A3" w:rsidRDefault="004246C0" w:rsidP="00424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246C0" w:rsidRPr="005735A3" w:rsidRDefault="004246C0" w:rsidP="00424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4246C0" w:rsidRPr="005420D4" w:rsidTr="00FC5995">
        <w:tc>
          <w:tcPr>
            <w:tcW w:w="2312" w:type="dxa"/>
            <w:tcBorders>
              <w:top w:val="nil"/>
              <w:bottom w:val="nil"/>
            </w:tcBorders>
          </w:tcPr>
          <w:p w:rsidR="004246C0" w:rsidRDefault="004246C0" w:rsidP="004246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Средне</w:t>
            </w:r>
            <w:r w:rsidRPr="00593442">
              <w:rPr>
                <w:rFonts w:eastAsia="Calibri"/>
                <w:sz w:val="22"/>
                <w:szCs w:val="22"/>
                <w:lang w:eastAsia="en-US"/>
              </w:rPr>
              <w:t>срочных</w:t>
            </w:r>
          </w:p>
          <w:p w:rsidR="004246C0" w:rsidRDefault="004246C0" w:rsidP="004246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(от 1 года до 5 лет) (%)</w:t>
            </w:r>
          </w:p>
          <w:p w:rsidR="004246C0" w:rsidRPr="005420D4" w:rsidRDefault="004246C0" w:rsidP="004246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246C0" w:rsidRPr="005420D4" w:rsidRDefault="004246C0" w:rsidP="00424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246C0" w:rsidRPr="005420D4" w:rsidRDefault="004246C0" w:rsidP="00424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246C0" w:rsidRPr="005420D4" w:rsidRDefault="004246C0" w:rsidP="00424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246C0" w:rsidRPr="005420D4" w:rsidRDefault="004246C0" w:rsidP="00424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246C0" w:rsidRPr="005420D4" w:rsidRDefault="004246C0" w:rsidP="00424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4246C0" w:rsidRPr="005420D4" w:rsidTr="00FC5995">
        <w:tc>
          <w:tcPr>
            <w:tcW w:w="2312" w:type="dxa"/>
            <w:tcBorders>
              <w:top w:val="nil"/>
            </w:tcBorders>
          </w:tcPr>
          <w:p w:rsidR="004246C0" w:rsidRDefault="004246C0" w:rsidP="004246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Долгосрочных</w:t>
            </w:r>
          </w:p>
          <w:p w:rsidR="004246C0" w:rsidRDefault="004246C0" w:rsidP="004246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(более 5 лет) (%)</w:t>
            </w:r>
          </w:p>
          <w:p w:rsidR="004246C0" w:rsidRDefault="004246C0" w:rsidP="004246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4246C0" w:rsidRPr="005420D4" w:rsidRDefault="004246C0" w:rsidP="00424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nil"/>
            </w:tcBorders>
          </w:tcPr>
          <w:p w:rsidR="004246C0" w:rsidRPr="005420D4" w:rsidRDefault="004246C0" w:rsidP="00424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nil"/>
            </w:tcBorders>
          </w:tcPr>
          <w:p w:rsidR="004246C0" w:rsidRPr="005420D4" w:rsidRDefault="004246C0" w:rsidP="00424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nil"/>
            </w:tcBorders>
          </w:tcPr>
          <w:p w:rsidR="004246C0" w:rsidRPr="005420D4" w:rsidRDefault="004246C0" w:rsidP="00424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nil"/>
            </w:tcBorders>
          </w:tcPr>
          <w:p w:rsidR="004246C0" w:rsidRPr="005420D4" w:rsidRDefault="004246C0" w:rsidP="004246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E2AA7" w:rsidRPr="005420D4" w:rsidTr="00FC5995">
        <w:tc>
          <w:tcPr>
            <w:tcW w:w="2312" w:type="dxa"/>
            <w:tcBorders>
              <w:bottom w:val="nil"/>
            </w:tcBorders>
          </w:tcPr>
          <w:p w:rsidR="003E2AA7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593442">
              <w:rPr>
                <w:rFonts w:eastAsia="Calibri"/>
                <w:sz w:val="22"/>
                <w:szCs w:val="22"/>
                <w:lang w:eastAsia="en-US"/>
              </w:rPr>
              <w:t>оля долговых обязательств</w:t>
            </w:r>
            <w:r>
              <w:rPr>
                <w:rFonts w:eastAsia="Calibri"/>
                <w:sz w:val="22"/>
                <w:szCs w:val="22"/>
                <w:lang w:eastAsia="en-US"/>
              </w:rPr>
              <w:t>, возникающих</w:t>
            </w:r>
            <w:r w:rsidRPr="0059344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из</w:t>
            </w:r>
            <w:r w:rsidRPr="00593442">
              <w:rPr>
                <w:rFonts w:eastAsia="Calibri"/>
                <w:sz w:val="22"/>
                <w:szCs w:val="22"/>
                <w:lang w:eastAsia="en-US"/>
              </w:rPr>
              <w:t xml:space="preserve"> кредит</w:t>
            </w:r>
            <w:r>
              <w:rPr>
                <w:rFonts w:eastAsia="Calibri"/>
                <w:sz w:val="22"/>
                <w:szCs w:val="22"/>
                <w:lang w:eastAsia="en-US"/>
              </w:rPr>
              <w:t>ов, привлеченных от кредитных организаций,</w:t>
            </w:r>
            <w:r>
              <w:t xml:space="preserve"> </w:t>
            </w:r>
            <w:r w:rsidRPr="007B5DB6">
              <w:rPr>
                <w:rFonts w:eastAsia="Calibri"/>
                <w:sz w:val="22"/>
                <w:szCs w:val="22"/>
                <w:lang w:eastAsia="en-US"/>
              </w:rPr>
              <w:t>в общем объеме долговых обязательств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3E2AA7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том числе (%):</w:t>
            </w:r>
          </w:p>
          <w:p w:rsidR="003E2AA7" w:rsidRPr="005420D4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75,4</w:t>
            </w:r>
          </w:p>
        </w:tc>
        <w:tc>
          <w:tcPr>
            <w:tcW w:w="1350" w:type="dxa"/>
            <w:tcBorders>
              <w:bottom w:val="nil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90,1</w:t>
            </w:r>
          </w:p>
        </w:tc>
        <w:tc>
          <w:tcPr>
            <w:tcW w:w="1350" w:type="dxa"/>
            <w:tcBorders>
              <w:bottom w:val="nil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1350" w:type="dxa"/>
            <w:tcBorders>
              <w:bottom w:val="nil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45,1</w:t>
            </w:r>
          </w:p>
        </w:tc>
        <w:tc>
          <w:tcPr>
            <w:tcW w:w="1350" w:type="dxa"/>
            <w:tcBorders>
              <w:bottom w:val="nil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44,5</w:t>
            </w:r>
          </w:p>
        </w:tc>
      </w:tr>
      <w:tr w:rsidR="003E2AA7" w:rsidRPr="005420D4" w:rsidTr="00FC5995">
        <w:tc>
          <w:tcPr>
            <w:tcW w:w="2312" w:type="dxa"/>
            <w:tcBorders>
              <w:top w:val="nil"/>
              <w:bottom w:val="nil"/>
            </w:tcBorders>
          </w:tcPr>
          <w:p w:rsidR="003E2AA7" w:rsidRDefault="00E953D1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3E2AA7">
              <w:rPr>
                <w:rFonts w:eastAsia="Calibri"/>
                <w:sz w:val="22"/>
                <w:szCs w:val="22"/>
                <w:lang w:eastAsia="en-US"/>
              </w:rPr>
              <w:t>раткосрочных</w:t>
            </w:r>
          </w:p>
          <w:p w:rsidR="003E2AA7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EF5C7E">
              <w:rPr>
                <w:rFonts w:eastAsia="Calibri"/>
                <w:sz w:val="22"/>
                <w:szCs w:val="22"/>
                <w:lang w:eastAsia="en-US"/>
              </w:rPr>
              <w:t xml:space="preserve">(до 1 года) </w:t>
            </w:r>
            <w:r>
              <w:rPr>
                <w:rFonts w:eastAsia="Calibri"/>
                <w:sz w:val="22"/>
                <w:szCs w:val="22"/>
                <w:lang w:eastAsia="en-US"/>
              </w:rPr>
              <w:t>(%)</w:t>
            </w:r>
          </w:p>
          <w:p w:rsidR="003E2AA7" w:rsidRPr="00593442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75,4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90,1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E2AA7" w:rsidRPr="005420D4" w:rsidTr="00FC5995">
        <w:tc>
          <w:tcPr>
            <w:tcW w:w="2312" w:type="dxa"/>
            <w:tcBorders>
              <w:top w:val="nil"/>
              <w:bottom w:val="nil"/>
            </w:tcBorders>
          </w:tcPr>
          <w:p w:rsidR="003E2AA7" w:rsidRDefault="00E953D1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3E2AA7">
              <w:rPr>
                <w:rFonts w:eastAsia="Calibri"/>
                <w:sz w:val="22"/>
                <w:szCs w:val="22"/>
                <w:lang w:eastAsia="en-US"/>
              </w:rPr>
              <w:t>редне</w:t>
            </w:r>
            <w:r w:rsidR="003E2AA7" w:rsidRPr="00593442">
              <w:rPr>
                <w:rFonts w:eastAsia="Calibri"/>
                <w:sz w:val="22"/>
                <w:szCs w:val="22"/>
                <w:lang w:eastAsia="en-US"/>
              </w:rPr>
              <w:t>срочных</w:t>
            </w:r>
          </w:p>
          <w:p w:rsidR="003E2AA7" w:rsidRPr="00EF5C7E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EF5C7E">
              <w:rPr>
                <w:rFonts w:eastAsia="Calibri"/>
                <w:sz w:val="22"/>
                <w:szCs w:val="22"/>
                <w:lang w:eastAsia="en-US"/>
              </w:rPr>
              <w:t>(от 1 года</w:t>
            </w:r>
          </w:p>
          <w:p w:rsidR="003E2AA7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EF5C7E">
              <w:rPr>
                <w:rFonts w:eastAsia="Calibri"/>
                <w:sz w:val="22"/>
                <w:szCs w:val="22"/>
                <w:lang w:eastAsia="en-US"/>
              </w:rPr>
              <w:t xml:space="preserve">до 5 лет) </w:t>
            </w:r>
            <w:r>
              <w:rPr>
                <w:rFonts w:eastAsia="Calibri"/>
                <w:sz w:val="22"/>
                <w:szCs w:val="22"/>
                <w:lang w:eastAsia="en-US"/>
              </w:rPr>
              <w:t>(%)</w:t>
            </w:r>
          </w:p>
          <w:p w:rsidR="003E2AA7" w:rsidRPr="005420D4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45,1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E2AA7" w:rsidRPr="005420D4" w:rsidRDefault="007005E8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20,1</w:t>
            </w:r>
          </w:p>
        </w:tc>
      </w:tr>
      <w:tr w:rsidR="003E2AA7" w:rsidRPr="005420D4" w:rsidTr="00FC5995">
        <w:tc>
          <w:tcPr>
            <w:tcW w:w="2312" w:type="dxa"/>
            <w:tcBorders>
              <w:top w:val="nil"/>
            </w:tcBorders>
          </w:tcPr>
          <w:p w:rsidR="003E2AA7" w:rsidRDefault="00E953D1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3E2AA7">
              <w:rPr>
                <w:rFonts w:eastAsia="Calibri"/>
                <w:sz w:val="22"/>
                <w:szCs w:val="22"/>
                <w:lang w:eastAsia="en-US"/>
              </w:rPr>
              <w:t>олгосрочных</w:t>
            </w:r>
          </w:p>
          <w:p w:rsidR="003E2AA7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EF5C7E">
              <w:rPr>
                <w:rFonts w:eastAsia="Calibri"/>
                <w:sz w:val="22"/>
                <w:szCs w:val="22"/>
                <w:lang w:eastAsia="en-US"/>
              </w:rPr>
              <w:t>(более 5 лет)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(%)</w:t>
            </w:r>
          </w:p>
          <w:p w:rsidR="003E2AA7" w:rsidRPr="005420D4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nil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nil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nil"/>
            </w:tcBorders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nil"/>
            </w:tcBorders>
          </w:tcPr>
          <w:p w:rsidR="003E2AA7" w:rsidRPr="005420D4" w:rsidRDefault="007005E8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24,4</w:t>
            </w:r>
          </w:p>
        </w:tc>
      </w:tr>
      <w:tr w:rsidR="003E2AA7" w:rsidRPr="005420D4" w:rsidTr="00FC5995">
        <w:tc>
          <w:tcPr>
            <w:tcW w:w="2312" w:type="dxa"/>
          </w:tcPr>
          <w:p w:rsidR="003E2AA7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Доля долговых обязательств, возникающих из </w:t>
            </w:r>
            <w:r w:rsidRPr="007614AA">
              <w:rPr>
                <w:rFonts w:eastAsia="Calibri"/>
                <w:sz w:val="22"/>
                <w:szCs w:val="22"/>
                <w:lang w:eastAsia="en-US"/>
              </w:rPr>
              <w:t>кредитов</w:t>
            </w:r>
            <w:r>
              <w:rPr>
                <w:rFonts w:eastAsia="Calibri"/>
                <w:sz w:val="22"/>
                <w:szCs w:val="22"/>
                <w:lang w:eastAsia="en-US"/>
              </w:rPr>
              <w:t>, привлеченных</w:t>
            </w:r>
            <w:r w:rsidRPr="007614AA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t xml:space="preserve"> </w:t>
            </w:r>
            <w:r w:rsidRPr="00D71413">
              <w:rPr>
                <w:rFonts w:eastAsia="Calibri"/>
                <w:sz w:val="22"/>
                <w:szCs w:val="22"/>
                <w:lang w:eastAsia="en-US"/>
              </w:rPr>
              <w:t>в общем объеме долговых обязательств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(%)</w:t>
            </w:r>
          </w:p>
          <w:p w:rsidR="003E2AA7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246C0" w:rsidRPr="005420D4" w:rsidRDefault="004246C0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22,9</w:t>
            </w:r>
          </w:p>
        </w:tc>
        <w:tc>
          <w:tcPr>
            <w:tcW w:w="1350" w:type="dxa"/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1350" w:type="dxa"/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350" w:type="dxa"/>
          </w:tcPr>
          <w:p w:rsidR="003E2AA7" w:rsidRPr="005420D4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52,3</w:t>
            </w:r>
          </w:p>
        </w:tc>
        <w:tc>
          <w:tcPr>
            <w:tcW w:w="1350" w:type="dxa"/>
          </w:tcPr>
          <w:p w:rsidR="003E2AA7" w:rsidRPr="005420D4" w:rsidRDefault="007005E8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52,7</w:t>
            </w:r>
          </w:p>
        </w:tc>
      </w:tr>
      <w:tr w:rsidR="003E2AA7" w:rsidRPr="005420D4" w:rsidTr="00FC5995">
        <w:tc>
          <w:tcPr>
            <w:tcW w:w="2312" w:type="dxa"/>
          </w:tcPr>
          <w:p w:rsidR="003E2AA7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Доля краткосрочных </w:t>
            </w:r>
            <w:r w:rsidRPr="0044770C">
              <w:rPr>
                <w:rFonts w:eastAsia="Calibri"/>
                <w:sz w:val="22"/>
                <w:szCs w:val="22"/>
                <w:lang w:eastAsia="en-US"/>
              </w:rPr>
              <w:t>(до 1 года)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долговых обязательств, возникающих из государственных заимствований, </w:t>
            </w:r>
            <w:r w:rsidRPr="00126673">
              <w:rPr>
                <w:rFonts w:eastAsia="Calibri"/>
                <w:sz w:val="22"/>
                <w:szCs w:val="22"/>
                <w:lang w:eastAsia="en-US"/>
              </w:rPr>
              <w:t>в общем объеме долговых обязательств (%)</w:t>
            </w:r>
          </w:p>
          <w:p w:rsidR="003E2AA7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</w:tcPr>
          <w:p w:rsidR="003E2AA7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2B20">
              <w:rPr>
                <w:rFonts w:eastAsia="Calibri"/>
                <w:sz w:val="22"/>
                <w:szCs w:val="22"/>
                <w:lang w:eastAsia="en-US"/>
              </w:rPr>
              <w:t>75,4</w:t>
            </w:r>
          </w:p>
        </w:tc>
        <w:tc>
          <w:tcPr>
            <w:tcW w:w="1350" w:type="dxa"/>
          </w:tcPr>
          <w:p w:rsidR="003E2AA7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2B20">
              <w:rPr>
                <w:rFonts w:eastAsia="Calibri"/>
                <w:sz w:val="22"/>
                <w:szCs w:val="22"/>
                <w:lang w:eastAsia="en-US"/>
              </w:rPr>
              <w:t>90,1</w:t>
            </w:r>
          </w:p>
        </w:tc>
        <w:tc>
          <w:tcPr>
            <w:tcW w:w="1350" w:type="dxa"/>
          </w:tcPr>
          <w:p w:rsidR="003E2AA7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</w:tcPr>
          <w:p w:rsidR="003E2AA7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</w:tcPr>
          <w:p w:rsidR="003E2AA7" w:rsidRDefault="007005E8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E2AA7" w:rsidRPr="005420D4" w:rsidTr="00FC5995">
        <w:tc>
          <w:tcPr>
            <w:tcW w:w="2312" w:type="dxa"/>
          </w:tcPr>
          <w:p w:rsidR="003E2AA7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71B8C">
              <w:rPr>
                <w:rFonts w:eastAsia="Calibri"/>
                <w:sz w:val="22"/>
                <w:szCs w:val="22"/>
                <w:lang w:eastAsia="en-US"/>
              </w:rPr>
              <w:t xml:space="preserve">тношение годовой суммы расходов по погашению и обслуживанию государственного долга к общему объему налоговых и неналоговых доходов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областного </w:t>
            </w:r>
            <w:r w:rsidRPr="00B71B8C">
              <w:rPr>
                <w:rFonts w:eastAsia="Calibri"/>
                <w:sz w:val="22"/>
                <w:szCs w:val="22"/>
                <w:lang w:eastAsia="en-US"/>
              </w:rPr>
              <w:t>бюджета и дотаций из других бюджетов бюджетной системы Российской Федерации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(%)</w:t>
            </w:r>
          </w:p>
          <w:p w:rsidR="003E2AA7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</w:tcPr>
          <w:p w:rsidR="003E2AA7" w:rsidRPr="005735A3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5A3">
              <w:rPr>
                <w:rFonts w:eastAsia="Calibri"/>
                <w:sz w:val="22"/>
                <w:szCs w:val="22"/>
                <w:lang w:eastAsia="en-US"/>
              </w:rPr>
              <w:t>85,3</w:t>
            </w:r>
          </w:p>
        </w:tc>
        <w:tc>
          <w:tcPr>
            <w:tcW w:w="1350" w:type="dxa"/>
          </w:tcPr>
          <w:p w:rsidR="003E2AA7" w:rsidRPr="005735A3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5A3">
              <w:rPr>
                <w:rFonts w:eastAsia="Calibri"/>
                <w:sz w:val="22"/>
                <w:szCs w:val="22"/>
                <w:lang w:eastAsia="en-US"/>
              </w:rPr>
              <w:t>110,3</w:t>
            </w:r>
          </w:p>
        </w:tc>
        <w:tc>
          <w:tcPr>
            <w:tcW w:w="1350" w:type="dxa"/>
          </w:tcPr>
          <w:p w:rsidR="003E2AA7" w:rsidRPr="005735A3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5A3">
              <w:rPr>
                <w:rFonts w:eastAsia="Calibri"/>
                <w:sz w:val="22"/>
                <w:szCs w:val="22"/>
                <w:lang w:eastAsia="en-US"/>
              </w:rPr>
              <w:t>79,5</w:t>
            </w:r>
          </w:p>
        </w:tc>
        <w:tc>
          <w:tcPr>
            <w:tcW w:w="1350" w:type="dxa"/>
          </w:tcPr>
          <w:p w:rsidR="003E2AA7" w:rsidRPr="005735A3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5A3">
              <w:rPr>
                <w:rFonts w:eastAsia="Calibri"/>
                <w:sz w:val="22"/>
                <w:szCs w:val="22"/>
                <w:lang w:eastAsia="en-US"/>
              </w:rPr>
              <w:t>45,3</w:t>
            </w:r>
          </w:p>
        </w:tc>
        <w:tc>
          <w:tcPr>
            <w:tcW w:w="1350" w:type="dxa"/>
          </w:tcPr>
          <w:p w:rsidR="003E2AA7" w:rsidRPr="005735A3" w:rsidRDefault="007005E8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23,1</w:t>
            </w:r>
          </w:p>
        </w:tc>
      </w:tr>
      <w:tr w:rsidR="003E2AA7" w:rsidRPr="005420D4" w:rsidTr="00FC5995">
        <w:tc>
          <w:tcPr>
            <w:tcW w:w="2312" w:type="dxa"/>
          </w:tcPr>
          <w:p w:rsidR="003E2AA7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D66ED0">
              <w:rPr>
                <w:rFonts w:eastAsia="Calibri"/>
                <w:sz w:val="22"/>
                <w:szCs w:val="22"/>
                <w:lang w:eastAsia="en-US"/>
              </w:rPr>
              <w:t>оля расходов на обслуживание государственного долга в общем объеме расходов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областного </w:t>
            </w:r>
            <w:r w:rsidRPr="00D66ED0">
              <w:rPr>
                <w:rFonts w:eastAsia="Calibri"/>
                <w:sz w:val="22"/>
                <w:szCs w:val="22"/>
                <w:lang w:eastAsia="en-US"/>
              </w:rPr>
              <w:t>бюджета, за исключением объема расходов, которые осуществляются за счет субвенций, предоставляемых из других бюджетов бюджетной системы Российской Федерации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(%)</w:t>
            </w:r>
          </w:p>
          <w:p w:rsidR="003E2AA7" w:rsidRDefault="003E2AA7" w:rsidP="003E2A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</w:tcPr>
          <w:p w:rsidR="003E2AA7" w:rsidRPr="005735A3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5A3">
              <w:rPr>
                <w:rFonts w:eastAsia="Calibri"/>
                <w:sz w:val="22"/>
                <w:szCs w:val="22"/>
                <w:lang w:eastAsia="en-US"/>
              </w:rPr>
              <w:t>1,97</w:t>
            </w:r>
          </w:p>
        </w:tc>
        <w:tc>
          <w:tcPr>
            <w:tcW w:w="1350" w:type="dxa"/>
          </w:tcPr>
          <w:p w:rsidR="003E2AA7" w:rsidRPr="005735A3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5A3">
              <w:rPr>
                <w:rFonts w:eastAsia="Calibri"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350" w:type="dxa"/>
          </w:tcPr>
          <w:p w:rsidR="003E2AA7" w:rsidRPr="005735A3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5A3">
              <w:rPr>
                <w:rFonts w:eastAsia="Calibri"/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1350" w:type="dxa"/>
          </w:tcPr>
          <w:p w:rsidR="003E2AA7" w:rsidRPr="005735A3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5A3">
              <w:rPr>
                <w:rFonts w:eastAsia="Calibri"/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350" w:type="dxa"/>
          </w:tcPr>
          <w:p w:rsidR="003E2AA7" w:rsidRPr="005735A3" w:rsidRDefault="003E2AA7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1,5</w:t>
            </w:r>
          </w:p>
        </w:tc>
      </w:tr>
    </w:tbl>
    <w:p w:rsidR="00C53279" w:rsidRDefault="00C53279" w:rsidP="00C53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3279" w:rsidRPr="00C95F0A" w:rsidRDefault="00C53279" w:rsidP="00C53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5F0A">
        <w:rPr>
          <w:sz w:val="28"/>
          <w:szCs w:val="28"/>
        </w:rPr>
        <w:t xml:space="preserve">В соответствии с Правилами проведения в 2017 году реструктуризации обязательств (задолженности) субъектов Российской Федерации перед Российской Федерацией по бюджетным кредитам, утвержденными постановлением Правительства Российской Федерации от 13.12.2017 </w:t>
      </w:r>
      <w:r w:rsidR="002414FB">
        <w:rPr>
          <w:sz w:val="28"/>
          <w:szCs w:val="28"/>
        </w:rPr>
        <w:br/>
      </w:r>
      <w:r w:rsidRPr="00C95F0A">
        <w:rPr>
          <w:sz w:val="28"/>
          <w:szCs w:val="28"/>
        </w:rPr>
        <w:t>№ 1531 в случае обеспече</w:t>
      </w:r>
      <w:r w:rsidR="00557485">
        <w:rPr>
          <w:sz w:val="28"/>
          <w:szCs w:val="28"/>
        </w:rPr>
        <w:t>ния Ивановской областью в 2018 и</w:t>
      </w:r>
      <w:r w:rsidRPr="00C95F0A">
        <w:rPr>
          <w:sz w:val="28"/>
          <w:szCs w:val="28"/>
        </w:rPr>
        <w:t xml:space="preserve"> 2019 годах темпов роста налоговых и неналоговых доходов консолидированного бюджета Ивановской области не ниже темпов инфляции, </w:t>
      </w:r>
      <w:r w:rsidR="00557485">
        <w:rPr>
          <w:sz w:val="28"/>
          <w:szCs w:val="28"/>
        </w:rPr>
        <w:t>возможно</w:t>
      </w:r>
      <w:r w:rsidRPr="00C95F0A">
        <w:rPr>
          <w:sz w:val="28"/>
          <w:szCs w:val="28"/>
        </w:rPr>
        <w:t xml:space="preserve"> продление общего срока реструктуризации </w:t>
      </w:r>
      <w:r w:rsidR="00584D65">
        <w:rPr>
          <w:sz w:val="28"/>
          <w:szCs w:val="28"/>
        </w:rPr>
        <w:t xml:space="preserve">бюджетных кредитов </w:t>
      </w:r>
      <w:r w:rsidRPr="00C95F0A">
        <w:rPr>
          <w:sz w:val="28"/>
          <w:szCs w:val="28"/>
        </w:rPr>
        <w:t xml:space="preserve">до 2029 года. </w:t>
      </w:r>
      <w:r w:rsidR="00E33843">
        <w:rPr>
          <w:sz w:val="28"/>
          <w:szCs w:val="28"/>
        </w:rPr>
        <w:t>В 2018 году данное условие выполнено.</w:t>
      </w:r>
    </w:p>
    <w:p w:rsidR="00584D65" w:rsidRDefault="00584D65" w:rsidP="0058378F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17123E" w:rsidRDefault="0017123E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7123E" w:rsidRDefault="0017123E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7123E" w:rsidRDefault="0017123E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2104F" w:rsidRDefault="00516202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Раздел </w:t>
      </w:r>
      <w:r w:rsidR="0058378F">
        <w:rPr>
          <w:rFonts w:eastAsia="Calibri"/>
          <w:b/>
          <w:sz w:val="28"/>
          <w:szCs w:val="28"/>
          <w:lang w:eastAsia="en-US"/>
        </w:rPr>
        <w:t>3</w:t>
      </w:r>
      <w:r w:rsidR="00010714" w:rsidRPr="00AA0889">
        <w:rPr>
          <w:rFonts w:eastAsia="Calibri"/>
          <w:b/>
          <w:sz w:val="28"/>
          <w:szCs w:val="28"/>
          <w:lang w:eastAsia="en-US"/>
        </w:rPr>
        <w:t>.</w:t>
      </w:r>
    </w:p>
    <w:p w:rsidR="00B45A57" w:rsidRDefault="00010714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Основные факторы, </w:t>
      </w:r>
      <w:r w:rsidR="00D22178">
        <w:rPr>
          <w:rFonts w:eastAsia="Calibri"/>
          <w:b/>
          <w:sz w:val="28"/>
          <w:szCs w:val="28"/>
          <w:lang w:eastAsia="en-US"/>
        </w:rPr>
        <w:t>опре</w:t>
      </w:r>
      <w:r w:rsidR="0032104F">
        <w:rPr>
          <w:rFonts w:eastAsia="Calibri"/>
          <w:b/>
          <w:sz w:val="28"/>
          <w:szCs w:val="28"/>
          <w:lang w:eastAsia="en-US"/>
        </w:rPr>
        <w:t xml:space="preserve">деляющие </w:t>
      </w:r>
      <w:r>
        <w:rPr>
          <w:rFonts w:eastAsia="Calibri"/>
          <w:b/>
          <w:sz w:val="28"/>
          <w:szCs w:val="28"/>
          <w:lang w:eastAsia="en-US"/>
        </w:rPr>
        <w:t>характер</w:t>
      </w:r>
    </w:p>
    <w:p w:rsidR="00010714" w:rsidRPr="00AA0889" w:rsidRDefault="00010714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 направления долговой политики</w:t>
      </w:r>
    </w:p>
    <w:p w:rsidR="005420D4" w:rsidRDefault="005420D4" w:rsidP="000107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A28B7" w:rsidRDefault="007F2775" w:rsidP="000A28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A28B7" w:rsidRPr="000A28B7">
        <w:rPr>
          <w:rFonts w:eastAsia="Calibri"/>
          <w:sz w:val="28"/>
          <w:szCs w:val="28"/>
          <w:lang w:eastAsia="en-US"/>
        </w:rPr>
        <w:t>. Основные факторы долговой политики</w:t>
      </w:r>
      <w:r w:rsidR="000A28B7">
        <w:rPr>
          <w:rFonts w:eastAsia="Calibri"/>
          <w:sz w:val="28"/>
          <w:szCs w:val="28"/>
          <w:lang w:eastAsia="en-US"/>
        </w:rPr>
        <w:t>.</w:t>
      </w:r>
    </w:p>
    <w:p w:rsidR="00E728F9" w:rsidRDefault="003D2C50" w:rsidP="00E728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166B18">
        <w:rPr>
          <w:rFonts w:eastAsia="Calibri"/>
          <w:sz w:val="28"/>
          <w:szCs w:val="28"/>
          <w:lang w:eastAsia="en-US"/>
        </w:rPr>
        <w:t>Макроэкономические условия реализации долговой политики.</w:t>
      </w:r>
    </w:p>
    <w:p w:rsidR="00A55DE9" w:rsidRDefault="00E728F9" w:rsidP="00DF5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E728F9">
        <w:rPr>
          <w:rFonts w:eastAsia="Calibri"/>
          <w:sz w:val="28"/>
          <w:szCs w:val="28"/>
          <w:lang w:eastAsia="en-US"/>
        </w:rPr>
        <w:t xml:space="preserve">лияние рисков ухудшения внешней экономической </w:t>
      </w:r>
      <w:r>
        <w:rPr>
          <w:rFonts w:eastAsia="Calibri"/>
          <w:sz w:val="28"/>
          <w:szCs w:val="28"/>
          <w:lang w:eastAsia="en-US"/>
        </w:rPr>
        <w:t>ситуации</w:t>
      </w:r>
      <w:r w:rsidRPr="00E728F9">
        <w:rPr>
          <w:rFonts w:eastAsia="Calibri"/>
          <w:sz w:val="28"/>
          <w:szCs w:val="28"/>
          <w:lang w:eastAsia="en-US"/>
        </w:rPr>
        <w:t xml:space="preserve"> может привести </w:t>
      </w:r>
      <w:r w:rsidR="0058378F">
        <w:rPr>
          <w:rFonts w:eastAsia="Calibri"/>
          <w:sz w:val="28"/>
          <w:szCs w:val="28"/>
          <w:lang w:eastAsia="en-US"/>
        </w:rPr>
        <w:t xml:space="preserve">к </w:t>
      </w:r>
      <w:r w:rsidR="00D40E42" w:rsidRPr="00E728F9">
        <w:rPr>
          <w:rFonts w:eastAsia="Calibri"/>
          <w:sz w:val="28"/>
          <w:szCs w:val="28"/>
          <w:lang w:eastAsia="en-US"/>
        </w:rPr>
        <w:t>ухудшению динамики основных макроэкономических показателей,</w:t>
      </w:r>
      <w:r w:rsidRPr="00E728F9">
        <w:rPr>
          <w:rFonts w:eastAsia="Calibri"/>
          <w:sz w:val="28"/>
          <w:szCs w:val="28"/>
          <w:lang w:eastAsia="en-US"/>
        </w:rPr>
        <w:t xml:space="preserve"> </w:t>
      </w:r>
      <w:r w:rsidR="00D40E42" w:rsidRPr="00E728F9">
        <w:rPr>
          <w:rFonts w:eastAsia="Calibri"/>
          <w:sz w:val="28"/>
          <w:szCs w:val="28"/>
          <w:lang w:eastAsia="en-US"/>
        </w:rPr>
        <w:t>в том числе повышению инфляции и снижению темпов экономического роста</w:t>
      </w:r>
      <w:r w:rsidR="00D40E42">
        <w:rPr>
          <w:rFonts w:eastAsia="Calibri"/>
          <w:sz w:val="28"/>
          <w:szCs w:val="28"/>
          <w:lang w:eastAsia="en-US"/>
        </w:rPr>
        <w:t>,</w:t>
      </w:r>
      <w:r w:rsidR="00D40E42" w:rsidRPr="00E728F9">
        <w:rPr>
          <w:rFonts w:eastAsia="Calibri"/>
          <w:sz w:val="28"/>
          <w:szCs w:val="28"/>
          <w:lang w:eastAsia="en-US"/>
        </w:rPr>
        <w:t xml:space="preserve"> </w:t>
      </w:r>
      <w:r w:rsidR="00D40E42">
        <w:rPr>
          <w:rFonts w:eastAsia="Calibri"/>
          <w:sz w:val="28"/>
          <w:szCs w:val="28"/>
          <w:lang w:eastAsia="en-US"/>
        </w:rPr>
        <w:t xml:space="preserve">снижению доходов, и как следствие, </w:t>
      </w:r>
      <w:r w:rsidR="00DF5108">
        <w:rPr>
          <w:rFonts w:eastAsia="Calibri"/>
          <w:sz w:val="28"/>
          <w:szCs w:val="28"/>
          <w:lang w:eastAsia="en-US"/>
        </w:rPr>
        <w:t>негативно отразиться на воз</w:t>
      </w:r>
      <w:r w:rsidR="00A55DE9">
        <w:rPr>
          <w:sz w:val="28"/>
          <w:szCs w:val="28"/>
        </w:rPr>
        <w:t>можност</w:t>
      </w:r>
      <w:r w:rsidR="00DF5108">
        <w:rPr>
          <w:sz w:val="28"/>
          <w:szCs w:val="28"/>
        </w:rPr>
        <w:t>и</w:t>
      </w:r>
      <w:r w:rsidR="00A55DE9">
        <w:rPr>
          <w:sz w:val="28"/>
          <w:szCs w:val="28"/>
        </w:rPr>
        <w:t xml:space="preserve"> осуществления </w:t>
      </w:r>
      <w:r w:rsidR="00D40E42">
        <w:rPr>
          <w:sz w:val="28"/>
          <w:szCs w:val="28"/>
        </w:rPr>
        <w:t xml:space="preserve">государственных </w:t>
      </w:r>
      <w:r w:rsidR="00A55DE9">
        <w:rPr>
          <w:sz w:val="28"/>
          <w:szCs w:val="28"/>
        </w:rPr>
        <w:t xml:space="preserve">заимствований </w:t>
      </w:r>
      <w:r w:rsidR="00DF5108">
        <w:rPr>
          <w:sz w:val="28"/>
          <w:szCs w:val="28"/>
        </w:rPr>
        <w:t xml:space="preserve">в нужных объемах </w:t>
      </w:r>
      <w:r w:rsidR="00DF5108" w:rsidRPr="00A55DE9">
        <w:rPr>
          <w:rFonts w:eastAsia="Calibri"/>
          <w:sz w:val="28"/>
          <w:szCs w:val="28"/>
          <w:lang w:eastAsia="en-US"/>
        </w:rPr>
        <w:t>и на приемлемых условиях</w:t>
      </w:r>
      <w:r w:rsidR="00DF5108">
        <w:rPr>
          <w:rFonts w:eastAsia="Calibri"/>
          <w:sz w:val="28"/>
          <w:szCs w:val="28"/>
          <w:lang w:eastAsia="en-US"/>
        </w:rPr>
        <w:t>.</w:t>
      </w:r>
    </w:p>
    <w:p w:rsidR="000A28B7" w:rsidRDefault="000A28B7" w:rsidP="000A28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3D2C50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 Высокий уровень государственного долга.</w:t>
      </w:r>
    </w:p>
    <w:p w:rsidR="00A03978" w:rsidRDefault="00A03978" w:rsidP="000A28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реализации долговой </w:t>
      </w:r>
      <w:r w:rsidRPr="00A03978">
        <w:rPr>
          <w:rFonts w:eastAsia="Calibri"/>
          <w:sz w:val="28"/>
          <w:szCs w:val="28"/>
          <w:lang w:eastAsia="en-US"/>
        </w:rPr>
        <w:t xml:space="preserve">необходимо стремиться к тому, чтобы </w:t>
      </w:r>
      <w:r>
        <w:rPr>
          <w:rFonts w:eastAsia="Calibri"/>
          <w:sz w:val="28"/>
          <w:szCs w:val="28"/>
          <w:lang w:eastAsia="en-US"/>
        </w:rPr>
        <w:t>объем накопленного государственного долга</w:t>
      </w:r>
      <w:r w:rsidRPr="00A03978">
        <w:rPr>
          <w:rFonts w:eastAsia="Calibri"/>
          <w:sz w:val="28"/>
          <w:szCs w:val="28"/>
          <w:lang w:eastAsia="en-US"/>
        </w:rPr>
        <w:t>, темпы е</w:t>
      </w:r>
      <w:r>
        <w:rPr>
          <w:rFonts w:eastAsia="Calibri"/>
          <w:sz w:val="28"/>
          <w:szCs w:val="28"/>
          <w:lang w:eastAsia="en-US"/>
        </w:rPr>
        <w:t>го</w:t>
      </w:r>
      <w:r w:rsidRPr="00A03978">
        <w:rPr>
          <w:rFonts w:eastAsia="Calibri"/>
          <w:sz w:val="28"/>
          <w:szCs w:val="28"/>
          <w:lang w:eastAsia="en-US"/>
        </w:rPr>
        <w:t xml:space="preserve"> роста и структура не снижали уровня кредитоспособности (платежеспособности) региона и возможности обеспечить социально-экономическое развитие </w:t>
      </w:r>
      <w:r>
        <w:rPr>
          <w:rFonts w:eastAsia="Calibri"/>
          <w:sz w:val="28"/>
          <w:szCs w:val="28"/>
          <w:lang w:eastAsia="en-US"/>
        </w:rPr>
        <w:t>Ивановской области</w:t>
      </w:r>
      <w:r w:rsidRPr="00A03978">
        <w:rPr>
          <w:rFonts w:eastAsia="Calibri"/>
          <w:sz w:val="28"/>
          <w:szCs w:val="28"/>
          <w:lang w:eastAsia="en-US"/>
        </w:rPr>
        <w:t>.</w:t>
      </w:r>
    </w:p>
    <w:p w:rsidR="00B81C9F" w:rsidRDefault="003D2C50" w:rsidP="00B81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0A28B7">
        <w:rPr>
          <w:rFonts w:eastAsia="Calibri"/>
          <w:sz w:val="28"/>
          <w:szCs w:val="28"/>
          <w:lang w:eastAsia="en-US"/>
        </w:rPr>
        <w:t xml:space="preserve">. </w:t>
      </w:r>
      <w:r w:rsidR="00B81C9F" w:rsidRPr="006D72C0">
        <w:rPr>
          <w:sz w:val="28"/>
          <w:szCs w:val="28"/>
        </w:rPr>
        <w:t>Состояние рынка</w:t>
      </w:r>
      <w:r w:rsidR="002136D5" w:rsidRPr="002136D5">
        <w:t xml:space="preserve"> </w:t>
      </w:r>
      <w:r w:rsidR="002136D5" w:rsidRPr="002136D5">
        <w:rPr>
          <w:sz w:val="28"/>
          <w:szCs w:val="28"/>
        </w:rPr>
        <w:t xml:space="preserve">услуг по предоставлению кредитов кредитными организациями, услуг по осуществлению и регистрации сделок </w:t>
      </w:r>
      <w:r w:rsidR="002136D5">
        <w:rPr>
          <w:sz w:val="28"/>
          <w:szCs w:val="28"/>
        </w:rPr>
        <w:t>с ценными бумагами (далее – рынок финансовых услуг)</w:t>
      </w:r>
      <w:r w:rsidR="00B81C9F">
        <w:rPr>
          <w:sz w:val="28"/>
          <w:szCs w:val="28"/>
        </w:rPr>
        <w:t>.</w:t>
      </w:r>
    </w:p>
    <w:p w:rsidR="000A28B7" w:rsidRDefault="00B81C9F" w:rsidP="00B81C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13BE">
        <w:rPr>
          <w:sz w:val="28"/>
          <w:szCs w:val="28"/>
        </w:rPr>
        <w:t xml:space="preserve">В среднесрочной перспективе </w:t>
      </w:r>
      <w:r>
        <w:rPr>
          <w:sz w:val="28"/>
          <w:szCs w:val="28"/>
        </w:rPr>
        <w:t xml:space="preserve">кредиты, </w:t>
      </w:r>
      <w:r w:rsidRPr="00B81C9F">
        <w:rPr>
          <w:sz w:val="28"/>
          <w:szCs w:val="28"/>
        </w:rPr>
        <w:t>п</w:t>
      </w:r>
      <w:r w:rsidR="0058378F">
        <w:rPr>
          <w:sz w:val="28"/>
          <w:szCs w:val="28"/>
        </w:rPr>
        <w:t>ривлеченные</w:t>
      </w:r>
      <w:r w:rsidRPr="00B81C9F">
        <w:rPr>
          <w:sz w:val="28"/>
          <w:szCs w:val="28"/>
        </w:rPr>
        <w:t xml:space="preserve"> от кредитных организаций</w:t>
      </w:r>
      <w:r>
        <w:rPr>
          <w:sz w:val="28"/>
          <w:szCs w:val="28"/>
        </w:rPr>
        <w:t xml:space="preserve">, </w:t>
      </w:r>
      <w:r w:rsidRPr="007313BE">
        <w:rPr>
          <w:sz w:val="28"/>
          <w:szCs w:val="28"/>
        </w:rPr>
        <w:t>сохран</w:t>
      </w:r>
      <w:r>
        <w:rPr>
          <w:sz w:val="28"/>
          <w:szCs w:val="28"/>
        </w:rPr>
        <w:t>я</w:t>
      </w:r>
      <w:r w:rsidRPr="007313BE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для Ивановской области </w:t>
      </w:r>
      <w:r w:rsidRPr="007313BE">
        <w:rPr>
          <w:sz w:val="28"/>
          <w:szCs w:val="28"/>
        </w:rPr>
        <w:t>роль основного источника финан</w:t>
      </w:r>
      <w:r>
        <w:rPr>
          <w:sz w:val="28"/>
          <w:szCs w:val="28"/>
        </w:rPr>
        <w:t>сирования дефицита областного бюджета, а также погашения долговых обязательств. Мониторинг рынка финансовых услуг</w:t>
      </w:r>
      <w:r w:rsidRPr="006E729A">
        <w:rPr>
          <w:sz w:val="28"/>
          <w:szCs w:val="28"/>
        </w:rPr>
        <w:t xml:space="preserve"> </w:t>
      </w:r>
      <w:r>
        <w:rPr>
          <w:sz w:val="28"/>
          <w:szCs w:val="28"/>
        </w:rPr>
        <w:t>останется важнейшим мероприятием при реализации долговой политики.</w:t>
      </w:r>
    </w:p>
    <w:p w:rsidR="00B81C9F" w:rsidRDefault="00B81C9F" w:rsidP="00B81C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1C9F">
        <w:rPr>
          <w:rFonts w:eastAsia="Calibri"/>
          <w:sz w:val="28"/>
          <w:szCs w:val="28"/>
          <w:lang w:eastAsia="en-US"/>
        </w:rPr>
        <w:t>2. Характер</w:t>
      </w:r>
      <w:r w:rsidR="00C84AF7">
        <w:rPr>
          <w:rFonts w:eastAsia="Calibri"/>
          <w:sz w:val="28"/>
          <w:szCs w:val="28"/>
          <w:lang w:eastAsia="en-US"/>
        </w:rPr>
        <w:t xml:space="preserve"> и</w:t>
      </w:r>
      <w:r w:rsidR="00C135F6">
        <w:rPr>
          <w:rFonts w:eastAsia="Calibri"/>
          <w:sz w:val="28"/>
          <w:szCs w:val="28"/>
          <w:lang w:eastAsia="en-US"/>
        </w:rPr>
        <w:t xml:space="preserve"> </w:t>
      </w:r>
      <w:r w:rsidRPr="00B81C9F">
        <w:rPr>
          <w:rFonts w:eastAsia="Calibri"/>
          <w:sz w:val="28"/>
          <w:szCs w:val="28"/>
          <w:lang w:eastAsia="en-US"/>
        </w:rPr>
        <w:t>направления</w:t>
      </w:r>
      <w:r w:rsidR="0041574C" w:rsidRPr="00B81C9F">
        <w:rPr>
          <w:rFonts w:eastAsia="Calibri"/>
          <w:sz w:val="28"/>
          <w:szCs w:val="28"/>
          <w:lang w:eastAsia="en-US"/>
        </w:rPr>
        <w:t xml:space="preserve"> </w:t>
      </w:r>
      <w:r w:rsidRPr="00B81C9F">
        <w:rPr>
          <w:rFonts w:eastAsia="Calibri"/>
          <w:sz w:val="28"/>
          <w:szCs w:val="28"/>
          <w:lang w:eastAsia="en-US"/>
        </w:rPr>
        <w:t>долговой политики.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B81C9F" w:rsidRDefault="00B81C9F" w:rsidP="00B81C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1C9F">
        <w:rPr>
          <w:rFonts w:eastAsia="Calibri"/>
          <w:sz w:val="28"/>
          <w:szCs w:val="28"/>
          <w:lang w:eastAsia="en-US"/>
        </w:rPr>
        <w:t>2.1. Вне зависимости от макроэкономических сценариев и состояния рынка финансовых услуг долговая политика</w:t>
      </w:r>
      <w:r w:rsidR="008E3745">
        <w:rPr>
          <w:rFonts w:eastAsia="Calibri"/>
          <w:sz w:val="28"/>
          <w:szCs w:val="28"/>
          <w:lang w:eastAsia="en-US"/>
        </w:rPr>
        <w:t xml:space="preserve"> продолжит</w:t>
      </w:r>
      <w:r w:rsidRPr="00B81C9F">
        <w:rPr>
          <w:rFonts w:eastAsia="Calibri"/>
          <w:sz w:val="28"/>
          <w:szCs w:val="28"/>
          <w:lang w:eastAsia="en-US"/>
        </w:rPr>
        <w:t xml:space="preserve"> характеризоваться: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A414A" w:rsidRDefault="00B81C9F" w:rsidP="003A41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1C9F">
        <w:rPr>
          <w:rFonts w:eastAsia="Calibri"/>
          <w:sz w:val="28"/>
          <w:szCs w:val="28"/>
          <w:lang w:eastAsia="en-US"/>
        </w:rPr>
        <w:t>1) направленностью на обеспечение способности Ивановской области осуществлять государственные заимствования на приемлемых условиях и в объемах, необходимых для финансирования дефицита областного бюджета, а также погашения долговых обязательств и решения социально-экономических задач. Фактический объем</w:t>
      </w:r>
      <w:r w:rsidR="008A2CB6">
        <w:rPr>
          <w:rFonts w:eastAsia="Calibri"/>
          <w:sz w:val="28"/>
          <w:szCs w:val="28"/>
          <w:lang w:eastAsia="en-US"/>
        </w:rPr>
        <w:t xml:space="preserve"> государственных заимствований должен</w:t>
      </w:r>
      <w:r w:rsidRPr="00B81C9F">
        <w:rPr>
          <w:rFonts w:eastAsia="Calibri"/>
          <w:sz w:val="28"/>
          <w:szCs w:val="28"/>
          <w:lang w:eastAsia="en-US"/>
        </w:rPr>
        <w:t xml:space="preserve"> определяться результатами исполнения областного бюджета</w:t>
      </w:r>
      <w:r w:rsidR="003A414A">
        <w:rPr>
          <w:rFonts w:eastAsia="Calibri"/>
          <w:sz w:val="28"/>
          <w:szCs w:val="28"/>
          <w:lang w:eastAsia="en-US"/>
        </w:rPr>
        <w:t xml:space="preserve">, </w:t>
      </w:r>
      <w:r w:rsidRPr="00B81C9F">
        <w:rPr>
          <w:rFonts w:eastAsia="Calibri"/>
          <w:sz w:val="28"/>
          <w:szCs w:val="28"/>
          <w:lang w:eastAsia="en-US"/>
        </w:rPr>
        <w:t>анализом рынка финансовых услуг</w:t>
      </w:r>
      <w:r w:rsidR="003A414A">
        <w:rPr>
          <w:rFonts w:eastAsia="Calibri"/>
          <w:sz w:val="28"/>
          <w:szCs w:val="28"/>
          <w:lang w:eastAsia="en-US"/>
        </w:rPr>
        <w:t xml:space="preserve">, а также соблюдением </w:t>
      </w:r>
      <w:r w:rsidR="0041235F">
        <w:rPr>
          <w:rFonts w:eastAsia="Calibri"/>
          <w:sz w:val="28"/>
          <w:szCs w:val="28"/>
          <w:lang w:eastAsia="en-US"/>
        </w:rPr>
        <w:t>обязательств, предусмотренных</w:t>
      </w:r>
      <w:r w:rsidR="003A414A">
        <w:rPr>
          <w:rFonts w:eastAsia="Calibri"/>
          <w:sz w:val="28"/>
          <w:szCs w:val="28"/>
          <w:lang w:eastAsia="en-US"/>
        </w:rPr>
        <w:t xml:space="preserve"> соглашени</w:t>
      </w:r>
      <w:r w:rsidR="0041235F">
        <w:rPr>
          <w:rFonts w:eastAsia="Calibri"/>
          <w:sz w:val="28"/>
          <w:szCs w:val="28"/>
          <w:lang w:eastAsia="en-US"/>
        </w:rPr>
        <w:t>ями</w:t>
      </w:r>
      <w:r w:rsidR="003A414A">
        <w:rPr>
          <w:rFonts w:eastAsia="Calibri"/>
          <w:sz w:val="28"/>
          <w:szCs w:val="28"/>
          <w:lang w:eastAsia="en-US"/>
        </w:rPr>
        <w:t xml:space="preserve"> о реструктуризации</w:t>
      </w:r>
      <w:r w:rsidR="002136D5">
        <w:rPr>
          <w:rFonts w:eastAsia="Calibri"/>
          <w:sz w:val="28"/>
          <w:szCs w:val="28"/>
          <w:lang w:eastAsia="en-US"/>
        </w:rPr>
        <w:t xml:space="preserve"> бюджетных кредитов</w:t>
      </w:r>
      <w:r w:rsidRPr="00B81C9F">
        <w:rPr>
          <w:rFonts w:eastAsia="Calibri"/>
          <w:sz w:val="28"/>
          <w:szCs w:val="28"/>
          <w:lang w:eastAsia="en-US"/>
        </w:rPr>
        <w:t>;</w:t>
      </w:r>
    </w:p>
    <w:p w:rsidR="00B81C9F" w:rsidRDefault="00B81C9F" w:rsidP="003A41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1C9F">
        <w:rPr>
          <w:rFonts w:eastAsia="Calibri"/>
          <w:sz w:val="28"/>
          <w:szCs w:val="28"/>
          <w:lang w:eastAsia="en-US"/>
        </w:rPr>
        <w:t>2) прозрачной аукционной политикой при участии на рынке финансовых услуг, постоянным и эффективным информационным взаимодейств</w:t>
      </w:r>
      <w:r w:rsidR="007851E4">
        <w:rPr>
          <w:rFonts w:eastAsia="Calibri"/>
          <w:sz w:val="28"/>
          <w:szCs w:val="28"/>
          <w:lang w:eastAsia="en-US"/>
        </w:rPr>
        <w:t>ием с финансовыми организациями;</w:t>
      </w:r>
    </w:p>
    <w:p w:rsidR="003A414A" w:rsidRPr="003A414A" w:rsidRDefault="0017732A" w:rsidP="003A41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Долговая политика должна</w:t>
      </w:r>
      <w:r w:rsidR="003A414A" w:rsidRPr="003A414A">
        <w:rPr>
          <w:rFonts w:eastAsia="Calibri"/>
          <w:sz w:val="28"/>
          <w:szCs w:val="28"/>
          <w:lang w:eastAsia="en-US"/>
        </w:rPr>
        <w:t xml:space="preserve"> </w:t>
      </w:r>
      <w:r w:rsidR="008E3745">
        <w:rPr>
          <w:rFonts w:eastAsia="Calibri"/>
          <w:sz w:val="28"/>
          <w:szCs w:val="28"/>
          <w:lang w:eastAsia="en-US"/>
        </w:rPr>
        <w:t>реализовывать</w:t>
      </w:r>
      <w:r>
        <w:rPr>
          <w:rFonts w:eastAsia="Calibri"/>
          <w:sz w:val="28"/>
          <w:szCs w:val="28"/>
          <w:lang w:eastAsia="en-US"/>
        </w:rPr>
        <w:t>ся</w:t>
      </w:r>
      <w:r w:rsidR="003A414A" w:rsidRPr="003A414A">
        <w:rPr>
          <w:rFonts w:eastAsia="Calibri"/>
          <w:sz w:val="28"/>
          <w:szCs w:val="28"/>
          <w:lang w:eastAsia="en-US"/>
        </w:rPr>
        <w:t xml:space="preserve"> по следующим взаимосвязанным направлениям:</w:t>
      </w:r>
    </w:p>
    <w:p w:rsidR="003A414A" w:rsidRPr="003A414A" w:rsidRDefault="003A414A" w:rsidP="003A41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414A">
        <w:rPr>
          <w:rFonts w:eastAsia="Calibri"/>
          <w:sz w:val="28"/>
          <w:szCs w:val="28"/>
          <w:lang w:eastAsia="en-US"/>
        </w:rPr>
        <w:lastRenderedPageBreak/>
        <w:t>1) планирование объема государственного долга и расходов областного бюджета на его обслуживание;</w:t>
      </w:r>
    </w:p>
    <w:p w:rsidR="003A414A" w:rsidRPr="003A414A" w:rsidRDefault="005B7FEF" w:rsidP="003A41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снижение долговых рисков, в том числе за счет</w:t>
      </w:r>
      <w:r w:rsidRPr="005B7F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установления моратория на предоставление новых государственных гарантий Ивановской области</w:t>
      </w:r>
      <w:r w:rsidR="003D2C50">
        <w:rPr>
          <w:rFonts w:eastAsia="Calibri"/>
          <w:sz w:val="28"/>
          <w:szCs w:val="28"/>
          <w:lang w:eastAsia="en-US"/>
        </w:rPr>
        <w:t>;</w:t>
      </w:r>
    </w:p>
    <w:p w:rsidR="003A414A" w:rsidRDefault="003A414A" w:rsidP="003A41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414A">
        <w:rPr>
          <w:rFonts w:eastAsia="Calibri"/>
          <w:sz w:val="28"/>
          <w:szCs w:val="28"/>
          <w:lang w:eastAsia="en-US"/>
        </w:rPr>
        <w:t>3) активное уп</w:t>
      </w:r>
      <w:r w:rsidR="005B7FEF">
        <w:rPr>
          <w:rFonts w:eastAsia="Calibri"/>
          <w:sz w:val="28"/>
          <w:szCs w:val="28"/>
          <w:lang w:eastAsia="en-US"/>
        </w:rPr>
        <w:t>равление государственным долгом.</w:t>
      </w:r>
    </w:p>
    <w:p w:rsidR="00B5180A" w:rsidRDefault="00042558" w:rsidP="00B518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2558">
        <w:rPr>
          <w:rFonts w:eastAsia="Calibri"/>
          <w:sz w:val="28"/>
          <w:szCs w:val="28"/>
          <w:lang w:eastAsia="en-US"/>
        </w:rPr>
        <w:t>В процессе планирования объема государственного долга и расходов областного бюджета на его обслуживание оп</w:t>
      </w:r>
      <w:r w:rsidR="00CC669F">
        <w:rPr>
          <w:rFonts w:eastAsia="Calibri"/>
          <w:sz w:val="28"/>
          <w:szCs w:val="28"/>
          <w:lang w:eastAsia="en-US"/>
        </w:rPr>
        <w:t>ределяются объемы, сроки и виды</w:t>
      </w:r>
      <w:r w:rsidRPr="00042558">
        <w:rPr>
          <w:rFonts w:eastAsia="Calibri"/>
          <w:sz w:val="28"/>
          <w:szCs w:val="28"/>
          <w:lang w:eastAsia="en-US"/>
        </w:rPr>
        <w:t xml:space="preserve"> долговых</w:t>
      </w:r>
      <w:r>
        <w:rPr>
          <w:rFonts w:eastAsia="Calibri"/>
          <w:sz w:val="28"/>
          <w:szCs w:val="28"/>
          <w:lang w:eastAsia="en-US"/>
        </w:rPr>
        <w:t xml:space="preserve"> обязательств</w:t>
      </w:r>
      <w:r w:rsidRPr="00042558">
        <w:rPr>
          <w:rFonts w:eastAsia="Calibri"/>
          <w:sz w:val="28"/>
          <w:szCs w:val="28"/>
          <w:lang w:eastAsia="en-US"/>
        </w:rPr>
        <w:t>. Основная цель этого</w:t>
      </w:r>
      <w:r>
        <w:rPr>
          <w:rFonts w:eastAsia="Calibri"/>
          <w:sz w:val="28"/>
          <w:szCs w:val="28"/>
          <w:lang w:eastAsia="en-US"/>
        </w:rPr>
        <w:t xml:space="preserve"> направления долговой политики –</w:t>
      </w:r>
      <w:r w:rsidRPr="00042558">
        <w:rPr>
          <w:rFonts w:eastAsia="Calibri"/>
          <w:sz w:val="28"/>
          <w:szCs w:val="28"/>
          <w:lang w:eastAsia="en-US"/>
        </w:rPr>
        <w:t xml:space="preserve"> учет влияния новых государственных заимствований на структуру накопленного государственного долга, а также оценка перспектив исполнения имеющихся долговых обязательств.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="00B5180A">
        <w:rPr>
          <w:rFonts w:eastAsia="Calibri"/>
          <w:sz w:val="28"/>
          <w:szCs w:val="28"/>
          <w:lang w:eastAsia="en-US"/>
        </w:rPr>
        <w:t xml:space="preserve"> целях </w:t>
      </w:r>
      <w:r w:rsidR="00E31EBC" w:rsidRPr="00E92893">
        <w:rPr>
          <w:rFonts w:eastAsia="Calibri"/>
          <w:sz w:val="28"/>
          <w:szCs w:val="28"/>
          <w:lang w:eastAsia="en-US"/>
        </w:rPr>
        <w:t xml:space="preserve">равномерного распределения </w:t>
      </w:r>
      <w:r w:rsidR="00DC63EE" w:rsidRPr="00E92893">
        <w:rPr>
          <w:rFonts w:eastAsia="Calibri"/>
          <w:sz w:val="28"/>
          <w:szCs w:val="28"/>
          <w:lang w:eastAsia="en-US"/>
        </w:rPr>
        <w:t xml:space="preserve">по годам </w:t>
      </w:r>
      <w:r w:rsidR="00E31EBC" w:rsidRPr="00E92893">
        <w:rPr>
          <w:rFonts w:eastAsia="Calibri"/>
          <w:sz w:val="28"/>
          <w:szCs w:val="28"/>
          <w:lang w:eastAsia="en-US"/>
        </w:rPr>
        <w:t xml:space="preserve">нагрузки </w:t>
      </w:r>
      <w:r>
        <w:rPr>
          <w:rFonts w:eastAsia="Calibri"/>
          <w:sz w:val="28"/>
          <w:szCs w:val="28"/>
          <w:lang w:eastAsia="en-US"/>
        </w:rPr>
        <w:t xml:space="preserve">на областной бюджет </w:t>
      </w:r>
      <w:r w:rsidR="00E31EBC" w:rsidRPr="00E92893">
        <w:rPr>
          <w:rFonts w:eastAsia="Calibri"/>
          <w:sz w:val="28"/>
          <w:szCs w:val="28"/>
          <w:lang w:eastAsia="en-US"/>
        </w:rPr>
        <w:t>по погашению и обслуживанию долговых обязательств</w:t>
      </w:r>
      <w:r w:rsidR="00E31EBC">
        <w:rPr>
          <w:rFonts w:eastAsia="Calibri"/>
          <w:sz w:val="28"/>
          <w:szCs w:val="28"/>
          <w:lang w:eastAsia="en-US"/>
        </w:rPr>
        <w:t xml:space="preserve">, </w:t>
      </w:r>
      <w:r w:rsidR="00B5180A" w:rsidRPr="00E92893">
        <w:rPr>
          <w:rFonts w:eastAsia="Calibri"/>
          <w:sz w:val="28"/>
          <w:szCs w:val="28"/>
          <w:lang w:eastAsia="en-US"/>
        </w:rPr>
        <w:t xml:space="preserve">при </w:t>
      </w:r>
      <w:r w:rsidR="00B5180A">
        <w:rPr>
          <w:rFonts w:eastAsia="Calibri"/>
          <w:sz w:val="28"/>
          <w:szCs w:val="28"/>
          <w:lang w:eastAsia="en-US"/>
        </w:rPr>
        <w:t>формировании областного</w:t>
      </w:r>
      <w:r w:rsidR="00B5180A" w:rsidRPr="00E92893">
        <w:rPr>
          <w:rFonts w:eastAsia="Calibri"/>
          <w:sz w:val="28"/>
          <w:szCs w:val="28"/>
          <w:lang w:eastAsia="en-US"/>
        </w:rPr>
        <w:t xml:space="preserve"> бюджета </w:t>
      </w:r>
      <w:r w:rsidR="00B5180A">
        <w:rPr>
          <w:rFonts w:eastAsia="Calibri"/>
          <w:sz w:val="28"/>
          <w:szCs w:val="28"/>
          <w:lang w:eastAsia="en-US"/>
        </w:rPr>
        <w:t>на очередной финансовый год и плановый период необходимо анализировать</w:t>
      </w:r>
      <w:r w:rsidR="00B5180A" w:rsidRPr="00E92893">
        <w:rPr>
          <w:rFonts w:eastAsia="Calibri"/>
          <w:sz w:val="28"/>
          <w:szCs w:val="28"/>
          <w:lang w:eastAsia="en-US"/>
        </w:rPr>
        <w:t xml:space="preserve"> объемы погашения долговых обязательств прошлых лет, приходящиеся на </w:t>
      </w:r>
      <w:r w:rsidR="00E31EBC">
        <w:rPr>
          <w:rFonts w:eastAsia="Calibri"/>
          <w:sz w:val="28"/>
          <w:szCs w:val="28"/>
          <w:lang w:eastAsia="en-US"/>
        </w:rPr>
        <w:t>соответствующие финансовые годы, срок</w:t>
      </w:r>
      <w:r w:rsidR="00B5180A" w:rsidRPr="00E92893">
        <w:rPr>
          <w:rFonts w:eastAsia="Calibri"/>
          <w:sz w:val="28"/>
          <w:szCs w:val="28"/>
          <w:lang w:eastAsia="en-US"/>
        </w:rPr>
        <w:t xml:space="preserve">и, на которые </w:t>
      </w:r>
      <w:r w:rsidR="00B5180A">
        <w:rPr>
          <w:rFonts w:eastAsia="Calibri"/>
          <w:sz w:val="28"/>
          <w:szCs w:val="28"/>
          <w:lang w:eastAsia="en-US"/>
        </w:rPr>
        <w:t>планируется осуществлять</w:t>
      </w:r>
      <w:r w:rsidR="00B5180A" w:rsidRPr="00E92893">
        <w:rPr>
          <w:rFonts w:eastAsia="Calibri"/>
          <w:sz w:val="28"/>
          <w:szCs w:val="28"/>
          <w:lang w:eastAsia="en-US"/>
        </w:rPr>
        <w:t xml:space="preserve"> новые </w:t>
      </w:r>
      <w:r w:rsidR="00B5180A">
        <w:rPr>
          <w:rFonts w:eastAsia="Calibri"/>
          <w:sz w:val="28"/>
          <w:szCs w:val="28"/>
          <w:lang w:eastAsia="en-US"/>
        </w:rPr>
        <w:t xml:space="preserve">государственные </w:t>
      </w:r>
      <w:r w:rsidR="00B5180A" w:rsidRPr="00E92893">
        <w:rPr>
          <w:rFonts w:eastAsia="Calibri"/>
          <w:sz w:val="28"/>
          <w:szCs w:val="28"/>
          <w:lang w:eastAsia="en-US"/>
        </w:rPr>
        <w:t>заимствования</w:t>
      </w:r>
      <w:r w:rsidR="00E31EBC">
        <w:rPr>
          <w:rFonts w:eastAsia="Calibri"/>
          <w:sz w:val="28"/>
          <w:szCs w:val="28"/>
          <w:lang w:eastAsia="en-US"/>
        </w:rPr>
        <w:t>.</w:t>
      </w:r>
    </w:p>
    <w:p w:rsidR="00E979C7" w:rsidRDefault="00E979C7" w:rsidP="00E979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планировании и осуществлени</w:t>
      </w:r>
      <w:r w:rsidR="00B32615">
        <w:rPr>
          <w:rFonts w:eastAsia="Calibri"/>
          <w:sz w:val="28"/>
          <w:szCs w:val="28"/>
          <w:lang w:eastAsia="en-US"/>
        </w:rPr>
        <w:t>и государственных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92893">
        <w:rPr>
          <w:rFonts w:eastAsia="Calibri"/>
          <w:sz w:val="28"/>
          <w:szCs w:val="28"/>
          <w:lang w:eastAsia="en-US"/>
        </w:rPr>
        <w:t>заимствов</w:t>
      </w:r>
      <w:r w:rsidR="0041235F">
        <w:rPr>
          <w:rFonts w:eastAsia="Calibri"/>
          <w:sz w:val="28"/>
          <w:szCs w:val="28"/>
          <w:lang w:eastAsia="en-US"/>
        </w:rPr>
        <w:t>аний необходимо учитывать риски,</w:t>
      </w:r>
      <w:r w:rsidRPr="00E92893">
        <w:rPr>
          <w:rFonts w:eastAsia="Calibri"/>
          <w:sz w:val="28"/>
          <w:szCs w:val="28"/>
          <w:lang w:eastAsia="en-US"/>
        </w:rPr>
        <w:t xml:space="preserve"> минимизация которых зачастую является более важной, чем стоимость заимствований</w:t>
      </w:r>
      <w:r>
        <w:rPr>
          <w:rFonts w:eastAsia="Calibri"/>
          <w:sz w:val="28"/>
          <w:szCs w:val="28"/>
          <w:lang w:eastAsia="en-US"/>
        </w:rPr>
        <w:t>.</w:t>
      </w:r>
      <w:r w:rsidR="00042558">
        <w:rPr>
          <w:rFonts w:eastAsia="Calibri"/>
          <w:sz w:val="28"/>
          <w:szCs w:val="28"/>
          <w:lang w:eastAsia="en-US"/>
        </w:rPr>
        <w:t xml:space="preserve"> </w:t>
      </w:r>
      <w:r w:rsidRPr="003A414A">
        <w:rPr>
          <w:rFonts w:eastAsia="Calibri"/>
          <w:sz w:val="28"/>
          <w:szCs w:val="28"/>
          <w:lang w:eastAsia="en-US"/>
        </w:rPr>
        <w:t xml:space="preserve">Снижение долговых рисков при планировании объема государственного долга и расходов на его обслуживание </w:t>
      </w:r>
      <w:r w:rsidR="0017732A">
        <w:rPr>
          <w:rFonts w:eastAsia="Calibri"/>
          <w:sz w:val="28"/>
          <w:szCs w:val="28"/>
          <w:lang w:eastAsia="en-US"/>
        </w:rPr>
        <w:t xml:space="preserve">необходимо </w:t>
      </w:r>
      <w:r w:rsidRPr="003A414A">
        <w:rPr>
          <w:rFonts w:eastAsia="Calibri"/>
          <w:sz w:val="28"/>
          <w:szCs w:val="28"/>
          <w:lang w:eastAsia="en-US"/>
        </w:rPr>
        <w:t>обеспечива</w:t>
      </w:r>
      <w:r w:rsidR="0017732A">
        <w:rPr>
          <w:rFonts w:eastAsia="Calibri"/>
          <w:sz w:val="28"/>
          <w:szCs w:val="28"/>
          <w:lang w:eastAsia="en-US"/>
        </w:rPr>
        <w:t>ть</w:t>
      </w:r>
      <w:r w:rsidR="0041235F">
        <w:rPr>
          <w:rFonts w:eastAsia="Calibri"/>
          <w:sz w:val="28"/>
          <w:szCs w:val="28"/>
          <w:lang w:eastAsia="en-US"/>
        </w:rPr>
        <w:t xml:space="preserve"> выбором приемлемых видов</w:t>
      </w:r>
      <w:r w:rsidR="00A348C0">
        <w:rPr>
          <w:rFonts w:eastAsia="Calibri"/>
          <w:sz w:val="28"/>
          <w:szCs w:val="28"/>
          <w:lang w:eastAsia="en-US"/>
        </w:rPr>
        <w:t xml:space="preserve"> и форм</w:t>
      </w:r>
      <w:r w:rsidRPr="003A414A">
        <w:rPr>
          <w:rFonts w:eastAsia="Calibri"/>
          <w:sz w:val="28"/>
          <w:szCs w:val="28"/>
          <w:lang w:eastAsia="en-US"/>
        </w:rPr>
        <w:t xml:space="preserve"> государственных заимствова</w:t>
      </w:r>
      <w:r w:rsidR="00A348C0">
        <w:rPr>
          <w:rFonts w:eastAsia="Calibri"/>
          <w:sz w:val="28"/>
          <w:szCs w:val="28"/>
          <w:lang w:eastAsia="en-US"/>
        </w:rPr>
        <w:t>ний.</w:t>
      </w:r>
      <w:r w:rsidRPr="003A414A">
        <w:rPr>
          <w:rFonts w:eastAsia="Calibri"/>
          <w:sz w:val="28"/>
          <w:szCs w:val="28"/>
          <w:lang w:eastAsia="en-US"/>
        </w:rPr>
        <w:t xml:space="preserve"> Снижение потенциальных рисков при осуществлении государственных заимствований </w:t>
      </w:r>
      <w:r w:rsidR="0017732A">
        <w:rPr>
          <w:rFonts w:eastAsia="Calibri"/>
          <w:sz w:val="28"/>
          <w:szCs w:val="28"/>
          <w:lang w:eastAsia="en-US"/>
        </w:rPr>
        <w:t xml:space="preserve">должно </w:t>
      </w:r>
      <w:r w:rsidRPr="003A414A">
        <w:rPr>
          <w:rFonts w:eastAsia="Calibri"/>
          <w:sz w:val="28"/>
          <w:szCs w:val="28"/>
          <w:lang w:eastAsia="en-US"/>
        </w:rPr>
        <w:t>достига</w:t>
      </w:r>
      <w:r w:rsidR="0017732A">
        <w:rPr>
          <w:rFonts w:eastAsia="Calibri"/>
          <w:sz w:val="28"/>
          <w:szCs w:val="28"/>
          <w:lang w:eastAsia="en-US"/>
        </w:rPr>
        <w:t>ть</w:t>
      </w:r>
      <w:r w:rsidRPr="003A414A">
        <w:rPr>
          <w:rFonts w:eastAsia="Calibri"/>
          <w:sz w:val="28"/>
          <w:szCs w:val="28"/>
          <w:lang w:eastAsia="en-US"/>
        </w:rPr>
        <w:t>ся определением наиболее благоприятных периодов для проведения операций с долговыми обязательствами и выхода на рынок финансовых услуг.</w:t>
      </w:r>
      <w:r w:rsidR="00C135F6">
        <w:rPr>
          <w:rFonts w:eastAsia="Calibri"/>
          <w:sz w:val="28"/>
          <w:szCs w:val="28"/>
          <w:lang w:eastAsia="en-US"/>
        </w:rPr>
        <w:t xml:space="preserve"> </w:t>
      </w:r>
    </w:p>
    <w:p w:rsidR="00B02970" w:rsidRDefault="00B02970" w:rsidP="00C135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</w:t>
      </w:r>
      <w:r w:rsidRPr="00B02970">
        <w:rPr>
          <w:rFonts w:eastAsia="Calibri"/>
          <w:sz w:val="28"/>
          <w:szCs w:val="28"/>
          <w:lang w:eastAsia="en-US"/>
        </w:rPr>
        <w:t xml:space="preserve">снижения риска предъявления к </w:t>
      </w:r>
      <w:r>
        <w:rPr>
          <w:rFonts w:eastAsia="Calibri"/>
          <w:sz w:val="28"/>
          <w:szCs w:val="28"/>
          <w:lang w:eastAsia="en-US"/>
        </w:rPr>
        <w:t>Ивановской области</w:t>
      </w:r>
      <w:r w:rsidRPr="00B02970">
        <w:rPr>
          <w:rFonts w:eastAsia="Calibri"/>
          <w:sz w:val="28"/>
          <w:szCs w:val="28"/>
          <w:lang w:eastAsia="en-US"/>
        </w:rPr>
        <w:t xml:space="preserve"> требований по исполнению </w:t>
      </w:r>
      <w:r>
        <w:rPr>
          <w:rFonts w:eastAsia="Calibri"/>
          <w:sz w:val="28"/>
          <w:szCs w:val="28"/>
          <w:lang w:eastAsia="en-US"/>
        </w:rPr>
        <w:t xml:space="preserve">обязательств, обеспеченных </w:t>
      </w:r>
      <w:r w:rsidRPr="00B02970">
        <w:rPr>
          <w:rFonts w:eastAsia="Calibri"/>
          <w:sz w:val="28"/>
          <w:szCs w:val="28"/>
          <w:lang w:eastAsia="en-US"/>
        </w:rPr>
        <w:t>государственны</w:t>
      </w:r>
      <w:r>
        <w:rPr>
          <w:rFonts w:eastAsia="Calibri"/>
          <w:sz w:val="28"/>
          <w:szCs w:val="28"/>
          <w:lang w:eastAsia="en-US"/>
        </w:rPr>
        <w:t>ми гарантиями</w:t>
      </w:r>
      <w:r w:rsidR="002136D5">
        <w:rPr>
          <w:rFonts w:eastAsia="Calibri"/>
          <w:sz w:val="28"/>
          <w:szCs w:val="28"/>
          <w:lang w:eastAsia="en-US"/>
        </w:rPr>
        <w:t xml:space="preserve"> Ивановской области, необходимо поддержание </w:t>
      </w:r>
      <w:r w:rsidRPr="00B02970">
        <w:rPr>
          <w:rFonts w:eastAsia="Calibri"/>
          <w:sz w:val="28"/>
          <w:szCs w:val="28"/>
          <w:lang w:eastAsia="en-US"/>
        </w:rPr>
        <w:t xml:space="preserve">моратория на </w:t>
      </w:r>
      <w:r>
        <w:rPr>
          <w:rFonts w:eastAsia="Calibri"/>
          <w:sz w:val="28"/>
          <w:szCs w:val="28"/>
          <w:lang w:eastAsia="en-US"/>
        </w:rPr>
        <w:t xml:space="preserve">их </w:t>
      </w:r>
      <w:r w:rsidRPr="00B02970">
        <w:rPr>
          <w:rFonts w:eastAsia="Calibri"/>
          <w:sz w:val="28"/>
          <w:szCs w:val="28"/>
          <w:lang w:eastAsia="en-US"/>
        </w:rPr>
        <w:t>предоставление</w:t>
      </w:r>
      <w:r>
        <w:rPr>
          <w:rFonts w:eastAsia="Calibri"/>
          <w:sz w:val="28"/>
          <w:szCs w:val="28"/>
          <w:lang w:eastAsia="en-US"/>
        </w:rPr>
        <w:t>.</w:t>
      </w:r>
    </w:p>
    <w:p w:rsidR="00C135F6" w:rsidRDefault="00B02970" w:rsidP="00C135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="003A414A" w:rsidRPr="003A414A">
        <w:rPr>
          <w:rFonts w:eastAsia="Calibri"/>
          <w:sz w:val="28"/>
          <w:szCs w:val="28"/>
          <w:lang w:eastAsia="en-US"/>
        </w:rPr>
        <w:t xml:space="preserve">ктивное управление государственным долгом предполагает своевременную подготовку и реализацию финансово-долговых операций, направленных на изменение размера и структуры государственного долга (рефинансирование или досрочное </w:t>
      </w:r>
      <w:r w:rsidR="00B32615">
        <w:rPr>
          <w:rFonts w:eastAsia="Calibri"/>
          <w:sz w:val="28"/>
          <w:szCs w:val="28"/>
          <w:lang w:eastAsia="en-US"/>
        </w:rPr>
        <w:t>погашение долговых обязательств</w:t>
      </w:r>
      <w:r w:rsidR="003A414A" w:rsidRPr="003A414A">
        <w:rPr>
          <w:rFonts w:eastAsia="Calibri"/>
          <w:sz w:val="28"/>
          <w:szCs w:val="28"/>
          <w:lang w:eastAsia="en-US"/>
        </w:rPr>
        <w:t>) с учетом анализа рынка финансовых услуг, результатов исполнения областного бюджета, анализа долговой нагрузки в определенный период времени.</w:t>
      </w:r>
      <w:r w:rsidR="00C135F6">
        <w:rPr>
          <w:rFonts w:eastAsia="Calibri"/>
          <w:sz w:val="28"/>
          <w:szCs w:val="28"/>
          <w:lang w:eastAsia="en-US"/>
        </w:rPr>
        <w:t xml:space="preserve"> </w:t>
      </w:r>
    </w:p>
    <w:p w:rsidR="00B02970" w:rsidRDefault="00B02970" w:rsidP="00C135F6">
      <w:pPr>
        <w:jc w:val="center"/>
        <w:rPr>
          <w:b/>
          <w:sz w:val="28"/>
          <w:szCs w:val="28"/>
        </w:rPr>
      </w:pPr>
    </w:p>
    <w:p w:rsidR="00CC4433" w:rsidRDefault="00CC669F" w:rsidP="00C135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</w:t>
      </w:r>
      <w:r w:rsidR="00CC4433">
        <w:rPr>
          <w:b/>
          <w:sz w:val="28"/>
          <w:szCs w:val="28"/>
        </w:rPr>
        <w:t>.</w:t>
      </w:r>
    </w:p>
    <w:p w:rsidR="00CC4433" w:rsidRDefault="00CC4433" w:rsidP="00CC4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AA0889">
        <w:rPr>
          <w:b/>
          <w:sz w:val="28"/>
          <w:szCs w:val="28"/>
        </w:rPr>
        <w:t xml:space="preserve"> и задачи долговой политики</w:t>
      </w:r>
    </w:p>
    <w:p w:rsidR="00CC4433" w:rsidRPr="00AA0889" w:rsidRDefault="00CC4433" w:rsidP="00CC4433">
      <w:pPr>
        <w:jc w:val="center"/>
        <w:rPr>
          <w:b/>
          <w:sz w:val="28"/>
          <w:szCs w:val="28"/>
        </w:rPr>
      </w:pPr>
    </w:p>
    <w:p w:rsidR="00CC4433" w:rsidRDefault="00CC4433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долговой политики являются:</w:t>
      </w:r>
    </w:p>
    <w:p w:rsidR="00B75217" w:rsidRDefault="00CC4433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1) </w:t>
      </w:r>
      <w:r w:rsidR="00B75217" w:rsidRPr="00B75217">
        <w:rPr>
          <w:rFonts w:eastAsia="Calibri"/>
          <w:sz w:val="28"/>
          <w:szCs w:val="28"/>
          <w:lang w:eastAsia="en-US"/>
        </w:rPr>
        <w:t xml:space="preserve">обеспечение сбалансированности </w:t>
      </w:r>
      <w:r w:rsidR="00B75217">
        <w:rPr>
          <w:rFonts w:eastAsia="Calibri"/>
          <w:sz w:val="28"/>
          <w:szCs w:val="28"/>
          <w:lang w:eastAsia="en-US"/>
        </w:rPr>
        <w:t xml:space="preserve">областного </w:t>
      </w:r>
      <w:r w:rsidR="00B75217" w:rsidRPr="00B75217">
        <w:rPr>
          <w:rFonts w:eastAsia="Calibri"/>
          <w:sz w:val="28"/>
          <w:szCs w:val="28"/>
          <w:lang w:eastAsia="en-US"/>
        </w:rPr>
        <w:t xml:space="preserve">бюджета </w:t>
      </w:r>
      <w:r w:rsidR="00B75217">
        <w:rPr>
          <w:rFonts w:eastAsia="Calibri"/>
          <w:sz w:val="28"/>
          <w:szCs w:val="28"/>
          <w:lang w:eastAsia="en-US"/>
        </w:rPr>
        <w:t>пр</w:t>
      </w:r>
      <w:r w:rsidR="00B75217" w:rsidRPr="00B75217">
        <w:rPr>
          <w:rFonts w:eastAsia="Calibri"/>
          <w:sz w:val="28"/>
          <w:szCs w:val="28"/>
          <w:lang w:eastAsia="en-US"/>
        </w:rPr>
        <w:t>и соб</w:t>
      </w:r>
      <w:r w:rsidR="00B75217">
        <w:rPr>
          <w:rFonts w:eastAsia="Calibri"/>
          <w:sz w:val="28"/>
          <w:szCs w:val="28"/>
          <w:lang w:eastAsia="en-US"/>
        </w:rPr>
        <w:t xml:space="preserve">людении </w:t>
      </w:r>
      <w:r w:rsidR="00B75217" w:rsidRPr="00B75217">
        <w:rPr>
          <w:rFonts w:eastAsia="Calibri"/>
          <w:sz w:val="28"/>
          <w:szCs w:val="28"/>
          <w:lang w:eastAsia="en-US"/>
        </w:rPr>
        <w:t>ограничений</w:t>
      </w:r>
      <w:r w:rsidR="00B75217">
        <w:rPr>
          <w:rFonts w:eastAsia="Calibri"/>
          <w:sz w:val="28"/>
          <w:szCs w:val="28"/>
          <w:lang w:eastAsia="en-US"/>
        </w:rPr>
        <w:t xml:space="preserve"> по долговой нагрузке областного бюджета</w:t>
      </w:r>
      <w:r w:rsidR="00B75217" w:rsidRPr="00B75217">
        <w:rPr>
          <w:rFonts w:eastAsia="Calibri"/>
          <w:sz w:val="28"/>
          <w:szCs w:val="28"/>
          <w:lang w:eastAsia="en-US"/>
        </w:rPr>
        <w:t xml:space="preserve">, установленных </w:t>
      </w:r>
      <w:r w:rsidR="00B75217">
        <w:rPr>
          <w:rFonts w:eastAsia="Calibri"/>
          <w:sz w:val="28"/>
          <w:szCs w:val="28"/>
          <w:lang w:eastAsia="en-US"/>
        </w:rPr>
        <w:t>соглашениями о реструктуризации</w:t>
      </w:r>
      <w:r w:rsidR="002136D5">
        <w:rPr>
          <w:rFonts w:eastAsia="Calibri"/>
          <w:sz w:val="28"/>
          <w:szCs w:val="28"/>
          <w:lang w:eastAsia="en-US"/>
        </w:rPr>
        <w:t xml:space="preserve"> бюджетных кредитов</w:t>
      </w:r>
      <w:r w:rsidR="00B75217">
        <w:rPr>
          <w:rFonts w:eastAsia="Calibri"/>
          <w:sz w:val="28"/>
          <w:szCs w:val="28"/>
          <w:lang w:eastAsia="en-US"/>
        </w:rPr>
        <w:t>;</w:t>
      </w:r>
    </w:p>
    <w:p w:rsidR="0071621B" w:rsidRDefault="00CC4433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5438A9">
        <w:rPr>
          <w:rFonts w:eastAsia="Calibri"/>
          <w:sz w:val="28"/>
          <w:szCs w:val="28"/>
          <w:lang w:eastAsia="en-US"/>
        </w:rPr>
        <w:t>своевременное исполнение долговых обязательств</w:t>
      </w:r>
      <w:r w:rsidR="00B75217">
        <w:rPr>
          <w:rFonts w:eastAsia="Calibri"/>
          <w:sz w:val="28"/>
          <w:szCs w:val="28"/>
          <w:lang w:eastAsia="en-US"/>
        </w:rPr>
        <w:t>.</w:t>
      </w:r>
    </w:p>
    <w:p w:rsidR="00CC4433" w:rsidRPr="00AA0889" w:rsidRDefault="00CC4433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</w:t>
      </w:r>
      <w:r w:rsidRPr="00AA0889">
        <w:rPr>
          <w:rFonts w:eastAsia="Calibri"/>
          <w:sz w:val="28"/>
          <w:szCs w:val="28"/>
          <w:lang w:eastAsia="en-US"/>
        </w:rPr>
        <w:t xml:space="preserve"> долговой политики</w:t>
      </w:r>
      <w:r>
        <w:rPr>
          <w:rFonts w:eastAsia="Calibri"/>
          <w:sz w:val="28"/>
          <w:szCs w:val="28"/>
          <w:lang w:eastAsia="en-US"/>
        </w:rPr>
        <w:t xml:space="preserve"> являются</w:t>
      </w:r>
      <w:r w:rsidRPr="00AA0889">
        <w:rPr>
          <w:rFonts w:eastAsia="Calibri"/>
          <w:sz w:val="28"/>
          <w:szCs w:val="28"/>
          <w:lang w:eastAsia="en-US"/>
        </w:rPr>
        <w:t>:</w:t>
      </w:r>
    </w:p>
    <w:p w:rsidR="00CC4433" w:rsidRDefault="00CC4433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1074B9">
        <w:rPr>
          <w:rFonts w:eastAsia="Calibri"/>
          <w:sz w:val="28"/>
          <w:szCs w:val="28"/>
          <w:lang w:eastAsia="en-US"/>
        </w:rPr>
        <w:t>сокращение объема государственного долга и расходов на его обслуживание</w:t>
      </w:r>
      <w:r>
        <w:rPr>
          <w:rFonts w:eastAsia="Calibri"/>
          <w:sz w:val="28"/>
          <w:szCs w:val="28"/>
          <w:lang w:eastAsia="en-US"/>
        </w:rPr>
        <w:t>;</w:t>
      </w:r>
    </w:p>
    <w:p w:rsidR="00BE11C4" w:rsidRDefault="0071621B" w:rsidP="007162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снижение </w:t>
      </w:r>
      <w:r w:rsidRPr="00AB6B35">
        <w:rPr>
          <w:rFonts w:eastAsia="Calibri"/>
          <w:sz w:val="28"/>
          <w:szCs w:val="28"/>
          <w:lang w:eastAsia="en-US"/>
        </w:rPr>
        <w:t>долговы</w:t>
      </w:r>
      <w:r>
        <w:rPr>
          <w:rFonts w:eastAsia="Calibri"/>
          <w:sz w:val="28"/>
          <w:szCs w:val="28"/>
          <w:lang w:eastAsia="en-US"/>
        </w:rPr>
        <w:t>х</w:t>
      </w:r>
      <w:r w:rsidRPr="00AB6B35">
        <w:rPr>
          <w:rFonts w:eastAsia="Calibri"/>
          <w:sz w:val="28"/>
          <w:szCs w:val="28"/>
          <w:lang w:eastAsia="en-US"/>
        </w:rPr>
        <w:t xml:space="preserve"> риск</w:t>
      </w:r>
      <w:r w:rsidR="00EE7E7F">
        <w:rPr>
          <w:rFonts w:eastAsia="Calibri"/>
          <w:sz w:val="28"/>
          <w:szCs w:val="28"/>
          <w:lang w:eastAsia="en-US"/>
        </w:rPr>
        <w:t xml:space="preserve">ов, </w:t>
      </w:r>
      <w:r w:rsidR="00BE11C4" w:rsidRPr="00BE11C4">
        <w:rPr>
          <w:rFonts w:eastAsia="Calibri"/>
          <w:sz w:val="28"/>
          <w:szCs w:val="28"/>
          <w:lang w:eastAsia="en-US"/>
        </w:rPr>
        <w:t xml:space="preserve">гибкое реагирование на изменяющиеся условия </w:t>
      </w:r>
      <w:r w:rsidR="00BE11C4">
        <w:rPr>
          <w:rFonts w:eastAsia="Calibri"/>
          <w:sz w:val="28"/>
          <w:szCs w:val="28"/>
          <w:lang w:eastAsia="en-US"/>
        </w:rPr>
        <w:t xml:space="preserve">рынка финансовых услуг </w:t>
      </w:r>
      <w:r w:rsidR="00BE11C4" w:rsidRPr="00BE11C4">
        <w:rPr>
          <w:rFonts w:eastAsia="Calibri"/>
          <w:sz w:val="28"/>
          <w:szCs w:val="28"/>
          <w:lang w:eastAsia="en-US"/>
        </w:rPr>
        <w:t>и использов</w:t>
      </w:r>
      <w:r w:rsidR="0017732A">
        <w:rPr>
          <w:rFonts w:eastAsia="Calibri"/>
          <w:sz w:val="28"/>
          <w:szCs w:val="28"/>
          <w:lang w:eastAsia="en-US"/>
        </w:rPr>
        <w:t>ание наиболее благоприятных видов</w:t>
      </w:r>
      <w:r w:rsidR="00BE11C4" w:rsidRPr="00BE11C4">
        <w:rPr>
          <w:rFonts w:eastAsia="Calibri"/>
          <w:sz w:val="28"/>
          <w:szCs w:val="28"/>
          <w:lang w:eastAsia="en-US"/>
        </w:rPr>
        <w:t xml:space="preserve"> </w:t>
      </w:r>
      <w:r w:rsidR="00BE11C4">
        <w:rPr>
          <w:rFonts w:eastAsia="Calibri"/>
          <w:sz w:val="28"/>
          <w:szCs w:val="28"/>
          <w:lang w:eastAsia="en-US"/>
        </w:rPr>
        <w:t xml:space="preserve">государственных </w:t>
      </w:r>
      <w:r w:rsidR="00BE11C4" w:rsidRPr="00BE11C4">
        <w:rPr>
          <w:rFonts w:eastAsia="Calibri"/>
          <w:sz w:val="28"/>
          <w:szCs w:val="28"/>
          <w:lang w:eastAsia="en-US"/>
        </w:rPr>
        <w:t>заимствований</w:t>
      </w:r>
      <w:r w:rsidR="00BE11C4">
        <w:rPr>
          <w:rFonts w:eastAsia="Calibri"/>
          <w:sz w:val="28"/>
          <w:szCs w:val="28"/>
          <w:lang w:eastAsia="en-US"/>
        </w:rPr>
        <w:t>;</w:t>
      </w:r>
    </w:p>
    <w:p w:rsidR="00BE11C4" w:rsidRPr="00BE11C4" w:rsidRDefault="00EE7E7F" w:rsidP="00BE11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="00BE11C4">
        <w:rPr>
          <w:rFonts w:eastAsia="Calibri"/>
          <w:sz w:val="28"/>
          <w:szCs w:val="28"/>
          <w:lang w:eastAsia="en-US"/>
        </w:rPr>
        <w:t xml:space="preserve"> </w:t>
      </w:r>
      <w:r w:rsidR="00BE11C4" w:rsidRPr="00BE11C4">
        <w:rPr>
          <w:rFonts w:eastAsia="Calibri"/>
          <w:sz w:val="28"/>
          <w:szCs w:val="28"/>
          <w:lang w:eastAsia="en-US"/>
        </w:rPr>
        <w:t>использование механизмов оперативного управления долговыми обязательствами</w:t>
      </w:r>
      <w:r>
        <w:rPr>
          <w:rFonts w:eastAsia="Calibri"/>
          <w:sz w:val="28"/>
          <w:szCs w:val="28"/>
          <w:lang w:eastAsia="en-US"/>
        </w:rPr>
        <w:t>, а именно</w:t>
      </w:r>
      <w:r w:rsidR="00BE11C4" w:rsidRPr="00BE11C4">
        <w:rPr>
          <w:rFonts w:eastAsia="Calibri"/>
          <w:sz w:val="28"/>
          <w:szCs w:val="28"/>
          <w:lang w:eastAsia="en-US"/>
        </w:rPr>
        <w:t>:</w:t>
      </w:r>
    </w:p>
    <w:p w:rsidR="00BE11C4" w:rsidRPr="00BE11C4" w:rsidRDefault="00BE11C4" w:rsidP="00BE11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E11C4">
        <w:rPr>
          <w:rFonts w:eastAsia="Calibri"/>
          <w:sz w:val="28"/>
          <w:szCs w:val="28"/>
          <w:lang w:eastAsia="en-US"/>
        </w:rPr>
        <w:t xml:space="preserve">корректировка сроков привлечения </w:t>
      </w:r>
      <w:r>
        <w:rPr>
          <w:rFonts w:eastAsia="Calibri"/>
          <w:sz w:val="28"/>
          <w:szCs w:val="28"/>
          <w:lang w:eastAsia="en-US"/>
        </w:rPr>
        <w:t xml:space="preserve">государственных </w:t>
      </w:r>
      <w:r w:rsidRPr="00BE11C4">
        <w:rPr>
          <w:rFonts w:eastAsia="Calibri"/>
          <w:sz w:val="28"/>
          <w:szCs w:val="28"/>
          <w:lang w:eastAsia="en-US"/>
        </w:rPr>
        <w:t>заимствований;</w:t>
      </w:r>
    </w:p>
    <w:p w:rsidR="00BE11C4" w:rsidRPr="00BE11C4" w:rsidRDefault="00BE11C4" w:rsidP="00BE11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E11C4">
        <w:rPr>
          <w:rFonts w:eastAsia="Calibri"/>
          <w:sz w:val="28"/>
          <w:szCs w:val="28"/>
          <w:lang w:eastAsia="en-US"/>
        </w:rPr>
        <w:t xml:space="preserve">осуществление </w:t>
      </w:r>
      <w:r>
        <w:rPr>
          <w:rFonts w:eastAsia="Calibri"/>
          <w:sz w:val="28"/>
          <w:szCs w:val="28"/>
          <w:lang w:eastAsia="en-US"/>
        </w:rPr>
        <w:t>досрочного</w:t>
      </w:r>
      <w:r w:rsidRPr="00BE11C4">
        <w:rPr>
          <w:rFonts w:eastAsia="Calibri"/>
          <w:sz w:val="28"/>
          <w:szCs w:val="28"/>
          <w:lang w:eastAsia="en-US"/>
        </w:rPr>
        <w:t xml:space="preserve"> погашени</w:t>
      </w:r>
      <w:r>
        <w:rPr>
          <w:rFonts w:eastAsia="Calibri"/>
          <w:sz w:val="28"/>
          <w:szCs w:val="28"/>
          <w:lang w:eastAsia="en-US"/>
        </w:rPr>
        <w:t>я</w:t>
      </w:r>
      <w:r w:rsidRPr="00BE11C4">
        <w:rPr>
          <w:rFonts w:eastAsia="Calibri"/>
          <w:sz w:val="28"/>
          <w:szCs w:val="28"/>
          <w:lang w:eastAsia="en-US"/>
        </w:rPr>
        <w:t xml:space="preserve"> долговых обязательств;</w:t>
      </w:r>
    </w:p>
    <w:p w:rsidR="00BE11C4" w:rsidRDefault="00BE11C4" w:rsidP="00BE11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E11C4">
        <w:rPr>
          <w:rFonts w:eastAsia="Calibri"/>
          <w:sz w:val="28"/>
          <w:szCs w:val="28"/>
          <w:lang w:eastAsia="en-US"/>
        </w:rPr>
        <w:t xml:space="preserve">сокращение объема </w:t>
      </w:r>
      <w:r>
        <w:rPr>
          <w:rFonts w:eastAsia="Calibri"/>
          <w:sz w:val="28"/>
          <w:szCs w:val="28"/>
          <w:lang w:eastAsia="en-US"/>
        </w:rPr>
        <w:t xml:space="preserve">государственных </w:t>
      </w:r>
      <w:r w:rsidRPr="00BE11C4">
        <w:rPr>
          <w:rFonts w:eastAsia="Calibri"/>
          <w:sz w:val="28"/>
          <w:szCs w:val="28"/>
          <w:lang w:eastAsia="en-US"/>
        </w:rPr>
        <w:t xml:space="preserve">заимствований с учетом результатов исполнения </w:t>
      </w:r>
      <w:r w:rsidR="00C34CCA">
        <w:rPr>
          <w:rFonts w:eastAsia="Calibri"/>
          <w:sz w:val="28"/>
          <w:szCs w:val="28"/>
          <w:lang w:eastAsia="en-US"/>
        </w:rPr>
        <w:t xml:space="preserve">областного </w:t>
      </w:r>
      <w:r w:rsidRPr="00BE11C4">
        <w:rPr>
          <w:rFonts w:eastAsia="Calibri"/>
          <w:sz w:val="28"/>
          <w:szCs w:val="28"/>
          <w:lang w:eastAsia="en-US"/>
        </w:rPr>
        <w:t>бюджета;</w:t>
      </w:r>
    </w:p>
    <w:p w:rsidR="00274DE8" w:rsidRDefault="00E953D1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16FE3">
        <w:rPr>
          <w:rFonts w:eastAsia="Calibri"/>
          <w:sz w:val="28"/>
          <w:szCs w:val="28"/>
          <w:lang w:eastAsia="en-US"/>
        </w:rPr>
        <w:t>п</w:t>
      </w:r>
      <w:r w:rsidR="00A16FE3" w:rsidRPr="00A16FE3">
        <w:rPr>
          <w:rFonts w:eastAsia="Calibri"/>
          <w:sz w:val="28"/>
          <w:szCs w:val="28"/>
          <w:lang w:eastAsia="en-US"/>
        </w:rPr>
        <w:t xml:space="preserve">ривлечение </w:t>
      </w:r>
      <w:r w:rsidR="005D163C">
        <w:rPr>
          <w:rFonts w:eastAsia="Calibri"/>
          <w:sz w:val="28"/>
          <w:szCs w:val="28"/>
          <w:lang w:eastAsia="en-US"/>
        </w:rPr>
        <w:t xml:space="preserve">краткосрочных </w:t>
      </w:r>
      <w:r w:rsidR="00A16FE3" w:rsidRPr="00A16FE3">
        <w:rPr>
          <w:rFonts w:eastAsia="Calibri"/>
          <w:sz w:val="28"/>
          <w:szCs w:val="28"/>
          <w:lang w:eastAsia="en-US"/>
        </w:rPr>
        <w:t>бюджетных кредитов на пополнение остатков средств на счете областного бюджета</w:t>
      </w:r>
      <w:r w:rsidR="00274DE8" w:rsidRPr="00274DE8">
        <w:rPr>
          <w:rFonts w:eastAsia="Calibri"/>
          <w:sz w:val="28"/>
          <w:szCs w:val="28"/>
          <w:lang w:eastAsia="en-US"/>
        </w:rPr>
        <w:t xml:space="preserve">. </w:t>
      </w:r>
    </w:p>
    <w:p w:rsidR="00CC4433" w:rsidRPr="00BE11C4" w:rsidRDefault="00CC4433" w:rsidP="00CC4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26E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Целевые о</w:t>
      </w:r>
      <w:r w:rsidR="0017732A">
        <w:rPr>
          <w:rFonts w:eastAsia="Calibri"/>
          <w:sz w:val="28"/>
          <w:szCs w:val="28"/>
          <w:lang w:eastAsia="en-US"/>
        </w:rPr>
        <w:t>риентиры долговой политики в 2020</w:t>
      </w:r>
      <w:r>
        <w:rPr>
          <w:rFonts w:eastAsia="Calibri"/>
          <w:sz w:val="28"/>
          <w:szCs w:val="28"/>
          <w:lang w:eastAsia="en-US"/>
        </w:rPr>
        <w:t xml:space="preserve"> – 2024 годах </w:t>
      </w:r>
      <w:r w:rsidR="00EE7E7F">
        <w:rPr>
          <w:rFonts w:eastAsia="Calibri"/>
          <w:sz w:val="28"/>
          <w:szCs w:val="28"/>
          <w:lang w:eastAsia="en-US"/>
        </w:rPr>
        <w:t>должны</w:t>
      </w:r>
      <w:r>
        <w:rPr>
          <w:rFonts w:eastAsia="Calibri"/>
          <w:sz w:val="28"/>
          <w:szCs w:val="28"/>
          <w:lang w:eastAsia="en-US"/>
        </w:rPr>
        <w:t xml:space="preserve"> определяться необходимостью соблюдения </w:t>
      </w:r>
      <w:r w:rsidR="00274DE8">
        <w:rPr>
          <w:sz w:val="28"/>
          <w:szCs w:val="28"/>
        </w:rPr>
        <w:t>обязательств, предусмотренных</w:t>
      </w:r>
      <w:r w:rsidR="007851E4">
        <w:rPr>
          <w:sz w:val="28"/>
          <w:szCs w:val="28"/>
        </w:rPr>
        <w:t xml:space="preserve"> соглашени</w:t>
      </w:r>
      <w:r w:rsidR="00274DE8">
        <w:rPr>
          <w:sz w:val="28"/>
          <w:szCs w:val="28"/>
        </w:rPr>
        <w:t>ям</w:t>
      </w:r>
      <w:r w:rsidR="007851E4">
        <w:rPr>
          <w:sz w:val="28"/>
          <w:szCs w:val="28"/>
        </w:rPr>
        <w:t xml:space="preserve"> </w:t>
      </w:r>
      <w:r w:rsidR="00BE11C4" w:rsidRPr="00BE11C4">
        <w:rPr>
          <w:sz w:val="28"/>
          <w:szCs w:val="28"/>
        </w:rPr>
        <w:t>о</w:t>
      </w:r>
      <w:r w:rsidRPr="00BE11C4">
        <w:rPr>
          <w:sz w:val="28"/>
          <w:szCs w:val="28"/>
        </w:rPr>
        <w:t xml:space="preserve"> реструктуризации</w:t>
      </w:r>
      <w:r w:rsidR="002136D5">
        <w:rPr>
          <w:sz w:val="28"/>
          <w:szCs w:val="28"/>
        </w:rPr>
        <w:t xml:space="preserve"> бюджетных кредитов</w:t>
      </w:r>
      <w:r w:rsidR="007851E4">
        <w:rPr>
          <w:sz w:val="28"/>
          <w:szCs w:val="28"/>
        </w:rPr>
        <w:t>.</w:t>
      </w:r>
      <w:r w:rsidRPr="00BE11C4">
        <w:rPr>
          <w:sz w:val="28"/>
          <w:szCs w:val="28"/>
        </w:rPr>
        <w:t xml:space="preserve"> </w:t>
      </w:r>
    </w:p>
    <w:p w:rsidR="00CC4433" w:rsidRPr="00BE11C4" w:rsidRDefault="00CC4433" w:rsidP="00CC4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1C4">
        <w:rPr>
          <w:sz w:val="28"/>
          <w:szCs w:val="28"/>
        </w:rPr>
        <w:t>При реа</w:t>
      </w:r>
      <w:r w:rsidR="0017732A">
        <w:rPr>
          <w:sz w:val="28"/>
          <w:szCs w:val="28"/>
        </w:rPr>
        <w:t>лизации долговой политики в 2020</w:t>
      </w:r>
      <w:r w:rsidRPr="00BE11C4">
        <w:rPr>
          <w:sz w:val="28"/>
          <w:szCs w:val="28"/>
        </w:rPr>
        <w:t xml:space="preserve"> – 2024 годах необходимо обеспечить:</w:t>
      </w:r>
    </w:p>
    <w:p w:rsidR="00CC4433" w:rsidRPr="00BE11C4" w:rsidRDefault="00CC4433" w:rsidP="00CC4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1C4">
        <w:rPr>
          <w:sz w:val="28"/>
          <w:szCs w:val="28"/>
        </w:rPr>
        <w:t>1) дефицит областного бюджета на уровне не более 10 процентов от суммы доходов областного бюджета без учета безвозмездных поступлений за соответствующий финансовый год;</w:t>
      </w:r>
    </w:p>
    <w:p w:rsidR="00CC4433" w:rsidRPr="00BE11C4" w:rsidRDefault="00CC4433" w:rsidP="00CC4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1C4">
        <w:rPr>
          <w:sz w:val="28"/>
          <w:szCs w:val="28"/>
        </w:rPr>
        <w:t xml:space="preserve">2) долю общего объема государственного долга к доходам областного бюджета без учета безвозмездных поступлений на 01.01.2021 – не более 73 процентов, на 01.01.2022 – не более 64 процентов, на 01.01.2023 – не более 56 процентов, на 01.01.2024 – не более 48 процентов, на 01.01.2025 – не более 41 процента; </w:t>
      </w:r>
    </w:p>
    <w:p w:rsidR="00CC4433" w:rsidRPr="00BE11C4" w:rsidRDefault="00CC4433" w:rsidP="00CC4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1C4">
        <w:rPr>
          <w:sz w:val="28"/>
          <w:szCs w:val="28"/>
        </w:rPr>
        <w:t>3) долю общего объема долговых обязательств по кредитам, привлеченным от кредитных организаций, и государственных ценных бумаг Ивановской области на уровне не более 40 процентов от доходов областного бюджета без учета безвозмездных поступлений за соответствующий финансовый год.</w:t>
      </w:r>
    </w:p>
    <w:p w:rsidR="00CC4433" w:rsidRPr="00BE11C4" w:rsidRDefault="00CC4433" w:rsidP="00CC44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c"/>
        <w:tblW w:w="9067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1134"/>
        <w:gridCol w:w="1134"/>
        <w:gridCol w:w="1134"/>
      </w:tblGrid>
      <w:tr w:rsidR="0017732A" w:rsidRPr="00150359" w:rsidTr="0017732A">
        <w:tc>
          <w:tcPr>
            <w:tcW w:w="3397" w:type="dxa"/>
          </w:tcPr>
          <w:p w:rsidR="0017732A" w:rsidRPr="00150359" w:rsidRDefault="0017732A" w:rsidP="00A01C9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7732A" w:rsidRPr="00150359" w:rsidRDefault="0017732A" w:rsidP="00A01C9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50359">
              <w:rPr>
                <w:b/>
                <w:sz w:val="16"/>
                <w:szCs w:val="16"/>
              </w:rPr>
              <w:t>На 01.01.2021</w:t>
            </w:r>
          </w:p>
        </w:tc>
        <w:tc>
          <w:tcPr>
            <w:tcW w:w="1134" w:type="dxa"/>
          </w:tcPr>
          <w:p w:rsidR="0017732A" w:rsidRPr="00150359" w:rsidRDefault="0017732A" w:rsidP="00A01C9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50359">
              <w:rPr>
                <w:b/>
                <w:sz w:val="16"/>
                <w:szCs w:val="16"/>
              </w:rPr>
              <w:t>На 01.01.2022</w:t>
            </w:r>
          </w:p>
          <w:p w:rsidR="0017732A" w:rsidRPr="00150359" w:rsidRDefault="0017732A" w:rsidP="00A01C9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7732A" w:rsidRPr="00150359" w:rsidRDefault="0017732A" w:rsidP="00A01C9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50359">
              <w:rPr>
                <w:b/>
                <w:sz w:val="16"/>
                <w:szCs w:val="16"/>
              </w:rPr>
              <w:t>На 01.01.2023</w:t>
            </w:r>
          </w:p>
        </w:tc>
        <w:tc>
          <w:tcPr>
            <w:tcW w:w="1134" w:type="dxa"/>
          </w:tcPr>
          <w:p w:rsidR="0017732A" w:rsidRPr="00150359" w:rsidRDefault="0017732A" w:rsidP="00A01C9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50359">
              <w:rPr>
                <w:b/>
                <w:sz w:val="16"/>
                <w:szCs w:val="16"/>
              </w:rPr>
              <w:t>На 01.01.2024</w:t>
            </w:r>
          </w:p>
        </w:tc>
        <w:tc>
          <w:tcPr>
            <w:tcW w:w="1134" w:type="dxa"/>
          </w:tcPr>
          <w:p w:rsidR="0017732A" w:rsidRPr="00150359" w:rsidRDefault="0017732A" w:rsidP="00A01C9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50359">
              <w:rPr>
                <w:b/>
                <w:sz w:val="16"/>
                <w:szCs w:val="16"/>
              </w:rPr>
              <w:t>На 01.01.2025</w:t>
            </w:r>
          </w:p>
        </w:tc>
      </w:tr>
      <w:tr w:rsidR="00B02970" w:rsidRPr="00150359" w:rsidTr="0017732A">
        <w:trPr>
          <w:trHeight w:val="323"/>
        </w:trPr>
        <w:tc>
          <w:tcPr>
            <w:tcW w:w="3397" w:type="dxa"/>
          </w:tcPr>
          <w:p w:rsidR="00B02970" w:rsidRPr="00150359" w:rsidRDefault="00B02970" w:rsidP="00B029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50359">
              <w:rPr>
                <w:sz w:val="16"/>
                <w:szCs w:val="16"/>
              </w:rPr>
              <w:t>Дефицит областного бюджета (%)</w:t>
            </w:r>
          </w:p>
          <w:p w:rsidR="00B02970" w:rsidRPr="00150359" w:rsidRDefault="00B02970" w:rsidP="00B029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02970" w:rsidRPr="00150359" w:rsidRDefault="00B02970" w:rsidP="00B02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  <w:r w:rsidRPr="00150359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B02970" w:rsidRDefault="00B02970" w:rsidP="00B02970">
            <w:pPr>
              <w:jc w:val="center"/>
            </w:pPr>
            <w:r w:rsidRPr="00692DF1">
              <w:rPr>
                <w:sz w:val="16"/>
                <w:szCs w:val="16"/>
              </w:rPr>
              <w:t>≤10</w:t>
            </w:r>
          </w:p>
        </w:tc>
        <w:tc>
          <w:tcPr>
            <w:tcW w:w="1134" w:type="dxa"/>
          </w:tcPr>
          <w:p w:rsidR="00B02970" w:rsidRDefault="00B02970" w:rsidP="00B02970">
            <w:pPr>
              <w:jc w:val="center"/>
            </w:pPr>
            <w:r w:rsidRPr="00692DF1">
              <w:rPr>
                <w:sz w:val="16"/>
                <w:szCs w:val="16"/>
              </w:rPr>
              <w:t>≤10</w:t>
            </w:r>
          </w:p>
        </w:tc>
        <w:tc>
          <w:tcPr>
            <w:tcW w:w="1134" w:type="dxa"/>
          </w:tcPr>
          <w:p w:rsidR="00B02970" w:rsidRDefault="00B02970" w:rsidP="00B02970">
            <w:pPr>
              <w:jc w:val="center"/>
            </w:pPr>
            <w:r w:rsidRPr="00692DF1">
              <w:rPr>
                <w:sz w:val="16"/>
                <w:szCs w:val="16"/>
              </w:rPr>
              <w:t>≤10</w:t>
            </w:r>
          </w:p>
        </w:tc>
        <w:tc>
          <w:tcPr>
            <w:tcW w:w="1134" w:type="dxa"/>
          </w:tcPr>
          <w:p w:rsidR="00B02970" w:rsidRDefault="00B02970" w:rsidP="00B02970">
            <w:pPr>
              <w:jc w:val="center"/>
            </w:pPr>
            <w:r w:rsidRPr="00692DF1">
              <w:rPr>
                <w:sz w:val="16"/>
                <w:szCs w:val="16"/>
              </w:rPr>
              <w:t>≤10</w:t>
            </w:r>
          </w:p>
        </w:tc>
      </w:tr>
      <w:tr w:rsidR="0017732A" w:rsidRPr="00150359" w:rsidTr="0017732A">
        <w:tc>
          <w:tcPr>
            <w:tcW w:w="3397" w:type="dxa"/>
          </w:tcPr>
          <w:p w:rsidR="0017732A" w:rsidRPr="00150359" w:rsidRDefault="0017732A" w:rsidP="00A01C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50359">
              <w:rPr>
                <w:sz w:val="16"/>
                <w:szCs w:val="16"/>
              </w:rPr>
              <w:t>Долговая нагрузка (%)</w:t>
            </w:r>
          </w:p>
          <w:p w:rsidR="0017732A" w:rsidRPr="00150359" w:rsidRDefault="0017732A" w:rsidP="00A01C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732A" w:rsidRPr="00150359" w:rsidRDefault="00B02970" w:rsidP="00A01C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  <w:r w:rsidR="0017732A" w:rsidRPr="00150359">
              <w:rPr>
                <w:sz w:val="16"/>
                <w:szCs w:val="16"/>
              </w:rPr>
              <w:t>73</w:t>
            </w:r>
          </w:p>
        </w:tc>
        <w:tc>
          <w:tcPr>
            <w:tcW w:w="1134" w:type="dxa"/>
          </w:tcPr>
          <w:p w:rsidR="0017732A" w:rsidRPr="00150359" w:rsidRDefault="00B02970" w:rsidP="00A01C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  <w:r w:rsidR="0017732A" w:rsidRPr="00150359">
              <w:rPr>
                <w:sz w:val="16"/>
                <w:szCs w:val="16"/>
              </w:rPr>
              <w:t>64</w:t>
            </w:r>
          </w:p>
        </w:tc>
        <w:tc>
          <w:tcPr>
            <w:tcW w:w="1134" w:type="dxa"/>
          </w:tcPr>
          <w:p w:rsidR="0017732A" w:rsidRPr="00150359" w:rsidRDefault="00B02970" w:rsidP="00A01C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  <w:r w:rsidR="0017732A" w:rsidRPr="00150359">
              <w:rPr>
                <w:sz w:val="16"/>
                <w:szCs w:val="16"/>
              </w:rPr>
              <w:t>56</w:t>
            </w:r>
          </w:p>
        </w:tc>
        <w:tc>
          <w:tcPr>
            <w:tcW w:w="1134" w:type="dxa"/>
          </w:tcPr>
          <w:p w:rsidR="0017732A" w:rsidRPr="00150359" w:rsidRDefault="00B02970" w:rsidP="00A01C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  <w:r w:rsidR="0017732A" w:rsidRPr="00150359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</w:tcPr>
          <w:p w:rsidR="0017732A" w:rsidRPr="00150359" w:rsidRDefault="00B02970" w:rsidP="00A01C9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  <w:r w:rsidR="0017732A" w:rsidRPr="00150359">
              <w:rPr>
                <w:sz w:val="16"/>
                <w:szCs w:val="16"/>
              </w:rPr>
              <w:t>41</w:t>
            </w:r>
          </w:p>
        </w:tc>
      </w:tr>
      <w:tr w:rsidR="00B02970" w:rsidRPr="00150359" w:rsidTr="0017732A">
        <w:tc>
          <w:tcPr>
            <w:tcW w:w="3397" w:type="dxa"/>
          </w:tcPr>
          <w:p w:rsidR="00B02970" w:rsidRPr="00150359" w:rsidRDefault="00B02970" w:rsidP="00B029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50359">
              <w:rPr>
                <w:sz w:val="16"/>
                <w:szCs w:val="16"/>
              </w:rPr>
              <w:t xml:space="preserve">Долговая нагрузка по долговым обязательствам, возникающим из государственных ценных бумаг Ивановской </w:t>
            </w:r>
            <w:r w:rsidRPr="00150359">
              <w:rPr>
                <w:sz w:val="16"/>
                <w:szCs w:val="16"/>
              </w:rPr>
              <w:lastRenderedPageBreak/>
              <w:t>области, кредитов, привлеченных от кредитных организаций</w:t>
            </w:r>
          </w:p>
          <w:p w:rsidR="00B02970" w:rsidRPr="00150359" w:rsidRDefault="00B02970" w:rsidP="00B029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50359">
              <w:rPr>
                <w:sz w:val="16"/>
                <w:szCs w:val="16"/>
              </w:rPr>
              <w:t xml:space="preserve"> (%)</w:t>
            </w:r>
          </w:p>
          <w:p w:rsidR="00B02970" w:rsidRPr="00150359" w:rsidRDefault="00B02970" w:rsidP="00B029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02970" w:rsidRPr="00150359" w:rsidRDefault="00B02970" w:rsidP="00B02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≤</w:t>
            </w:r>
            <w:r w:rsidRPr="00150359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B02970" w:rsidRDefault="00B02970" w:rsidP="00B02970">
            <w:pPr>
              <w:jc w:val="center"/>
            </w:pPr>
            <w:r w:rsidRPr="005A6436">
              <w:rPr>
                <w:sz w:val="16"/>
                <w:szCs w:val="16"/>
              </w:rPr>
              <w:t>≤40</w:t>
            </w:r>
          </w:p>
        </w:tc>
        <w:tc>
          <w:tcPr>
            <w:tcW w:w="1134" w:type="dxa"/>
          </w:tcPr>
          <w:p w:rsidR="00B02970" w:rsidRDefault="00B02970" w:rsidP="00B02970">
            <w:pPr>
              <w:jc w:val="center"/>
            </w:pPr>
            <w:r w:rsidRPr="005A6436">
              <w:rPr>
                <w:sz w:val="16"/>
                <w:szCs w:val="16"/>
              </w:rPr>
              <w:t>≤40</w:t>
            </w:r>
          </w:p>
        </w:tc>
        <w:tc>
          <w:tcPr>
            <w:tcW w:w="1134" w:type="dxa"/>
          </w:tcPr>
          <w:p w:rsidR="00B02970" w:rsidRDefault="00B02970" w:rsidP="00B02970">
            <w:pPr>
              <w:jc w:val="center"/>
            </w:pPr>
            <w:r w:rsidRPr="005A6436">
              <w:rPr>
                <w:sz w:val="16"/>
                <w:szCs w:val="16"/>
              </w:rPr>
              <w:t>≤40</w:t>
            </w:r>
          </w:p>
        </w:tc>
        <w:tc>
          <w:tcPr>
            <w:tcW w:w="1134" w:type="dxa"/>
          </w:tcPr>
          <w:p w:rsidR="00B02970" w:rsidRDefault="00B02970" w:rsidP="00B02970">
            <w:pPr>
              <w:jc w:val="center"/>
            </w:pPr>
            <w:r w:rsidRPr="005A6436">
              <w:rPr>
                <w:sz w:val="16"/>
                <w:szCs w:val="16"/>
              </w:rPr>
              <w:t>≤40</w:t>
            </w:r>
          </w:p>
        </w:tc>
      </w:tr>
      <w:tr w:rsidR="00B02970" w:rsidRPr="00150359" w:rsidTr="0017732A">
        <w:tc>
          <w:tcPr>
            <w:tcW w:w="3397" w:type="dxa"/>
          </w:tcPr>
          <w:p w:rsidR="00B02970" w:rsidRPr="00150359" w:rsidRDefault="00B02970" w:rsidP="00B029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50359">
              <w:rPr>
                <w:sz w:val="16"/>
                <w:szCs w:val="16"/>
              </w:rPr>
              <w:t>Отношение годовой суммы расходов по погашению и обслуживанию государственного долга к общему объему налоговых и неналоговых доходов областного бюджета и дотаций из других бюджетов бюджетной системы Российской Федерации (%)</w:t>
            </w:r>
          </w:p>
          <w:p w:rsidR="00B02970" w:rsidRPr="00150359" w:rsidRDefault="00B02970" w:rsidP="00B029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02970" w:rsidRPr="00150359" w:rsidRDefault="00B02970" w:rsidP="00B02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≤2</w:t>
            </w:r>
            <w:r w:rsidRPr="0015035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02970" w:rsidRDefault="00B02970" w:rsidP="00B02970">
            <w:pPr>
              <w:jc w:val="center"/>
            </w:pPr>
            <w:r w:rsidRPr="00C237BB">
              <w:rPr>
                <w:sz w:val="16"/>
                <w:szCs w:val="16"/>
              </w:rPr>
              <w:t>≤20</w:t>
            </w:r>
          </w:p>
        </w:tc>
        <w:tc>
          <w:tcPr>
            <w:tcW w:w="1134" w:type="dxa"/>
          </w:tcPr>
          <w:p w:rsidR="00B02970" w:rsidRDefault="00B02970" w:rsidP="00B02970">
            <w:pPr>
              <w:jc w:val="center"/>
            </w:pPr>
            <w:r w:rsidRPr="00C237BB">
              <w:rPr>
                <w:sz w:val="16"/>
                <w:szCs w:val="16"/>
              </w:rPr>
              <w:t>≤20</w:t>
            </w:r>
          </w:p>
        </w:tc>
        <w:tc>
          <w:tcPr>
            <w:tcW w:w="1134" w:type="dxa"/>
          </w:tcPr>
          <w:p w:rsidR="00B02970" w:rsidRDefault="00B02970" w:rsidP="00B02970">
            <w:pPr>
              <w:jc w:val="center"/>
            </w:pPr>
            <w:r w:rsidRPr="00C237BB">
              <w:rPr>
                <w:sz w:val="16"/>
                <w:szCs w:val="16"/>
              </w:rPr>
              <w:t>≤20</w:t>
            </w:r>
          </w:p>
        </w:tc>
        <w:tc>
          <w:tcPr>
            <w:tcW w:w="1134" w:type="dxa"/>
          </w:tcPr>
          <w:p w:rsidR="00B02970" w:rsidRDefault="00B02970" w:rsidP="00B02970">
            <w:pPr>
              <w:jc w:val="center"/>
            </w:pPr>
            <w:r w:rsidRPr="00C237BB">
              <w:rPr>
                <w:sz w:val="16"/>
                <w:szCs w:val="16"/>
              </w:rPr>
              <w:t>≤20</w:t>
            </w:r>
          </w:p>
        </w:tc>
      </w:tr>
      <w:tr w:rsidR="00B02970" w:rsidRPr="00150359" w:rsidTr="0017732A">
        <w:tc>
          <w:tcPr>
            <w:tcW w:w="3397" w:type="dxa"/>
          </w:tcPr>
          <w:p w:rsidR="00B02970" w:rsidRPr="00150359" w:rsidRDefault="00B02970" w:rsidP="00B029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50359">
              <w:rPr>
                <w:sz w:val="16"/>
                <w:szCs w:val="16"/>
              </w:rPr>
              <w:t>Доля расходов на обслуживание государственного долга в общем объеме расходов областного бюджета, за исключением объема расходов, которые осуществляются за счет субвенций, предоставляемых из других бюджетов бюджетной системы Российской Федерации (%)</w:t>
            </w:r>
          </w:p>
        </w:tc>
        <w:tc>
          <w:tcPr>
            <w:tcW w:w="1134" w:type="dxa"/>
          </w:tcPr>
          <w:p w:rsidR="00B02970" w:rsidRPr="00150359" w:rsidRDefault="00B02970" w:rsidP="00B029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≤5</w:t>
            </w:r>
          </w:p>
        </w:tc>
        <w:tc>
          <w:tcPr>
            <w:tcW w:w="1134" w:type="dxa"/>
          </w:tcPr>
          <w:p w:rsidR="00B02970" w:rsidRDefault="00B02970" w:rsidP="00B02970">
            <w:pPr>
              <w:jc w:val="center"/>
            </w:pPr>
            <w:r w:rsidRPr="00B43CE7">
              <w:rPr>
                <w:sz w:val="16"/>
                <w:szCs w:val="16"/>
              </w:rPr>
              <w:t>≤5</w:t>
            </w:r>
          </w:p>
        </w:tc>
        <w:tc>
          <w:tcPr>
            <w:tcW w:w="1134" w:type="dxa"/>
          </w:tcPr>
          <w:p w:rsidR="00B02970" w:rsidRDefault="00B02970" w:rsidP="00B02970">
            <w:pPr>
              <w:jc w:val="center"/>
            </w:pPr>
            <w:r w:rsidRPr="00B43CE7">
              <w:rPr>
                <w:sz w:val="16"/>
                <w:szCs w:val="16"/>
              </w:rPr>
              <w:t>≤5</w:t>
            </w:r>
          </w:p>
        </w:tc>
        <w:tc>
          <w:tcPr>
            <w:tcW w:w="1134" w:type="dxa"/>
          </w:tcPr>
          <w:p w:rsidR="00B02970" w:rsidRDefault="00B02970" w:rsidP="00B02970">
            <w:pPr>
              <w:jc w:val="center"/>
            </w:pPr>
            <w:r w:rsidRPr="00B43CE7">
              <w:rPr>
                <w:sz w:val="16"/>
                <w:szCs w:val="16"/>
              </w:rPr>
              <w:t>≤5</w:t>
            </w:r>
          </w:p>
        </w:tc>
        <w:tc>
          <w:tcPr>
            <w:tcW w:w="1134" w:type="dxa"/>
          </w:tcPr>
          <w:p w:rsidR="00B02970" w:rsidRDefault="00B02970" w:rsidP="00B02970">
            <w:pPr>
              <w:jc w:val="center"/>
            </w:pPr>
            <w:r w:rsidRPr="00B43CE7">
              <w:rPr>
                <w:sz w:val="16"/>
                <w:szCs w:val="16"/>
              </w:rPr>
              <w:t>≤5</w:t>
            </w:r>
          </w:p>
        </w:tc>
      </w:tr>
    </w:tbl>
    <w:p w:rsidR="009E535B" w:rsidRDefault="009E535B" w:rsidP="00672A6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85DF1" w:rsidRDefault="00E953D1" w:rsidP="00672A6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</w:t>
      </w:r>
      <w:r w:rsidR="00672A61">
        <w:rPr>
          <w:rFonts w:eastAsia="Calibri"/>
          <w:b/>
          <w:sz w:val="28"/>
          <w:szCs w:val="28"/>
          <w:lang w:eastAsia="en-US"/>
        </w:rPr>
        <w:t xml:space="preserve">дел </w:t>
      </w:r>
      <w:r w:rsidR="00CC669F">
        <w:rPr>
          <w:rFonts w:eastAsia="Calibri"/>
          <w:b/>
          <w:sz w:val="28"/>
          <w:szCs w:val="28"/>
          <w:lang w:eastAsia="en-US"/>
        </w:rPr>
        <w:t>5</w:t>
      </w:r>
      <w:r w:rsidR="00E61384" w:rsidRPr="00AA0889">
        <w:rPr>
          <w:rFonts w:eastAsia="Calibri"/>
          <w:b/>
          <w:sz w:val="28"/>
          <w:szCs w:val="28"/>
          <w:lang w:eastAsia="en-US"/>
        </w:rPr>
        <w:t xml:space="preserve">. </w:t>
      </w:r>
      <w:r w:rsidR="00672A61">
        <w:rPr>
          <w:rFonts w:eastAsia="Calibri"/>
          <w:b/>
          <w:sz w:val="28"/>
          <w:szCs w:val="28"/>
          <w:lang w:eastAsia="en-US"/>
        </w:rPr>
        <w:t xml:space="preserve">Инструменты </w:t>
      </w:r>
      <w:r w:rsidR="00334692">
        <w:rPr>
          <w:rFonts w:eastAsia="Calibri"/>
          <w:b/>
          <w:sz w:val="28"/>
          <w:szCs w:val="28"/>
          <w:lang w:eastAsia="en-US"/>
        </w:rPr>
        <w:t xml:space="preserve">реализации </w:t>
      </w:r>
      <w:r w:rsidR="00885DF1">
        <w:rPr>
          <w:rFonts w:eastAsia="Calibri"/>
          <w:b/>
          <w:sz w:val="28"/>
          <w:szCs w:val="28"/>
          <w:lang w:eastAsia="en-US"/>
        </w:rPr>
        <w:t>долговой политики</w:t>
      </w:r>
    </w:p>
    <w:p w:rsidR="00987465" w:rsidRDefault="00987465" w:rsidP="00584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36D5" w:rsidRPr="002136D5" w:rsidRDefault="002136D5" w:rsidP="002136D5">
      <w:pPr>
        <w:pStyle w:val="ad"/>
        <w:ind w:firstLine="709"/>
        <w:jc w:val="both"/>
        <w:rPr>
          <w:sz w:val="28"/>
          <w:szCs w:val="28"/>
        </w:rPr>
      </w:pPr>
      <w:r w:rsidRPr="002136D5">
        <w:rPr>
          <w:sz w:val="28"/>
          <w:szCs w:val="28"/>
        </w:rPr>
        <w:t>Долговая политика реализуется посредством:</w:t>
      </w:r>
    </w:p>
    <w:p w:rsidR="002136D5" w:rsidRPr="002136D5" w:rsidRDefault="002136D5" w:rsidP="002136D5">
      <w:pPr>
        <w:pStyle w:val="ad"/>
        <w:ind w:firstLine="709"/>
        <w:jc w:val="both"/>
        <w:rPr>
          <w:sz w:val="28"/>
          <w:szCs w:val="28"/>
        </w:rPr>
      </w:pPr>
      <w:r w:rsidRPr="002136D5">
        <w:rPr>
          <w:sz w:val="28"/>
          <w:szCs w:val="28"/>
        </w:rPr>
        <w:t>1) рыночных инструментов (кредиты, привлеченные от кредитных организаций, государственные ценные бумаги Ивановской области);</w:t>
      </w:r>
    </w:p>
    <w:p w:rsidR="002136D5" w:rsidRPr="002136D5" w:rsidRDefault="002136D5" w:rsidP="002136D5">
      <w:pPr>
        <w:pStyle w:val="ad"/>
        <w:ind w:firstLine="709"/>
        <w:jc w:val="both"/>
        <w:rPr>
          <w:sz w:val="28"/>
          <w:szCs w:val="28"/>
        </w:rPr>
      </w:pPr>
      <w:r w:rsidRPr="002136D5">
        <w:rPr>
          <w:sz w:val="28"/>
          <w:szCs w:val="28"/>
        </w:rPr>
        <w:t>2) нерыночных инструментов (бюджетные кредиты, привлекаемые из федерального бюджета).</w:t>
      </w:r>
    </w:p>
    <w:p w:rsidR="002136D5" w:rsidRDefault="002136D5" w:rsidP="002136D5">
      <w:pPr>
        <w:pStyle w:val="ad"/>
        <w:ind w:firstLine="709"/>
        <w:jc w:val="both"/>
        <w:rPr>
          <w:sz w:val="28"/>
          <w:szCs w:val="28"/>
        </w:rPr>
      </w:pPr>
      <w:r w:rsidRPr="002136D5">
        <w:rPr>
          <w:sz w:val="28"/>
          <w:szCs w:val="28"/>
        </w:rPr>
        <w:t>Использование рыночных инструментов при ре</w:t>
      </w:r>
      <w:r>
        <w:rPr>
          <w:sz w:val="28"/>
          <w:szCs w:val="28"/>
        </w:rPr>
        <w:t>ализации долговой политики в 2020</w:t>
      </w:r>
      <w:r w:rsidRPr="002136D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136D5">
        <w:rPr>
          <w:sz w:val="28"/>
          <w:szCs w:val="28"/>
        </w:rPr>
        <w:t xml:space="preserve"> 2024 годах будет определяться необходимостью соблюдения правил реструктуризации обязательств по бюджетным кредитам, соглашений о реструктуризации бюджетных кредитов.</w:t>
      </w:r>
    </w:p>
    <w:p w:rsidR="00DD6EAB" w:rsidRPr="002136D5" w:rsidRDefault="009677EC" w:rsidP="00DD6EAB">
      <w:pPr>
        <w:pStyle w:val="ad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Проведенная в декабре 2017 года</w:t>
      </w:r>
      <w:r w:rsidRPr="009677EC">
        <w:rPr>
          <w:sz w:val="28"/>
          <w:szCs w:val="28"/>
        </w:rPr>
        <w:t xml:space="preserve"> </w:t>
      </w:r>
      <w:r>
        <w:rPr>
          <w:sz w:val="28"/>
          <w:szCs w:val="28"/>
        </w:rPr>
        <w:t>реструктуризация</w:t>
      </w:r>
      <w:r w:rsidRPr="009677EC">
        <w:rPr>
          <w:sz w:val="28"/>
          <w:szCs w:val="28"/>
        </w:rPr>
        <w:t xml:space="preserve"> задо</w:t>
      </w:r>
      <w:r>
        <w:rPr>
          <w:sz w:val="28"/>
          <w:szCs w:val="28"/>
        </w:rPr>
        <w:t xml:space="preserve">лженности по федеральным бюджетным кредитам </w:t>
      </w:r>
      <w:r w:rsidR="00DD6EAB" w:rsidRPr="00DD6EAB">
        <w:rPr>
          <w:sz w:val="28"/>
          <w:szCs w:val="28"/>
        </w:rPr>
        <w:t xml:space="preserve">на условиях рассрочки исполнения обязательств до 2024 года, позволит уменьшить в 2020 – 2024 годах объемы предполагаемых </w:t>
      </w:r>
      <w:r>
        <w:rPr>
          <w:sz w:val="28"/>
          <w:szCs w:val="28"/>
        </w:rPr>
        <w:t>рыночных заимствований</w:t>
      </w:r>
      <w:r w:rsidR="00DD6EAB" w:rsidRPr="00DD6EAB">
        <w:rPr>
          <w:sz w:val="28"/>
          <w:szCs w:val="28"/>
        </w:rPr>
        <w:t xml:space="preserve"> в целях погашения долговых обязательств и сократить расходы областного бюджета на обслуживание государственного долга в указанном периоде на сумму порядка 1,4 </w:t>
      </w:r>
      <w:proofErr w:type="spellStart"/>
      <w:r w:rsidR="00DD6EAB" w:rsidRPr="00DD6EAB">
        <w:rPr>
          <w:sz w:val="28"/>
          <w:szCs w:val="28"/>
        </w:rPr>
        <w:t>млрд.рублей</w:t>
      </w:r>
      <w:proofErr w:type="spellEnd"/>
      <w:r w:rsidR="00DD6EAB" w:rsidRPr="00DD6EAB">
        <w:rPr>
          <w:sz w:val="28"/>
          <w:szCs w:val="28"/>
        </w:rPr>
        <w:t>.</w:t>
      </w:r>
    </w:p>
    <w:p w:rsidR="00C53279" w:rsidRDefault="00875E69" w:rsidP="00875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E69">
        <w:rPr>
          <w:sz w:val="28"/>
          <w:szCs w:val="28"/>
        </w:rPr>
        <w:t>Привлечение кредитов от кредитных организаций планируется осуществлять в течение финансового года по мере возникнове</w:t>
      </w:r>
      <w:r w:rsidR="00DC63EE">
        <w:rPr>
          <w:sz w:val="28"/>
          <w:szCs w:val="28"/>
        </w:rPr>
        <w:t xml:space="preserve">ния потребности в </w:t>
      </w:r>
      <w:r w:rsidRPr="00875E69">
        <w:rPr>
          <w:sz w:val="28"/>
          <w:szCs w:val="28"/>
        </w:rPr>
        <w:t>финансовых ресурсах.</w:t>
      </w:r>
      <w:r w:rsidR="00DC63EE" w:rsidRPr="00DC63EE">
        <w:t xml:space="preserve"> </w:t>
      </w:r>
      <w:r w:rsidR="009218EA">
        <w:rPr>
          <w:sz w:val="28"/>
          <w:szCs w:val="28"/>
        </w:rPr>
        <w:t>Для обеспечения</w:t>
      </w:r>
      <w:r w:rsidR="00DC63EE" w:rsidRPr="00DC63EE">
        <w:rPr>
          <w:sz w:val="28"/>
          <w:szCs w:val="28"/>
        </w:rPr>
        <w:t xml:space="preserve"> равномерного распределения по годам нагрузки на областной бюджет по погашению долговых обязательств</w:t>
      </w:r>
      <w:r w:rsidRPr="00875E69">
        <w:rPr>
          <w:sz w:val="28"/>
          <w:szCs w:val="28"/>
        </w:rPr>
        <w:t xml:space="preserve"> кредиты от кредитных организаций </w:t>
      </w:r>
      <w:r w:rsidR="00DC63EE">
        <w:rPr>
          <w:sz w:val="28"/>
          <w:szCs w:val="28"/>
        </w:rPr>
        <w:t>планируется привлекать на среднесрочной основе</w:t>
      </w:r>
      <w:r w:rsidRPr="00875E69">
        <w:rPr>
          <w:sz w:val="28"/>
          <w:szCs w:val="28"/>
        </w:rPr>
        <w:t xml:space="preserve">. </w:t>
      </w:r>
    </w:p>
    <w:p w:rsidR="00C53279" w:rsidRDefault="00DC63EE" w:rsidP="00875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обязательств соглашений о реструктуризации бюджетных кредитов, </w:t>
      </w:r>
      <w:r w:rsidR="00C53279" w:rsidRPr="00C53279">
        <w:rPr>
          <w:sz w:val="28"/>
          <w:szCs w:val="28"/>
        </w:rPr>
        <w:t>кредит</w:t>
      </w:r>
      <w:r>
        <w:rPr>
          <w:sz w:val="28"/>
          <w:szCs w:val="28"/>
        </w:rPr>
        <w:t>ы</w:t>
      </w:r>
      <w:r w:rsidR="00C53279" w:rsidRPr="00C53279">
        <w:rPr>
          <w:sz w:val="28"/>
          <w:szCs w:val="28"/>
        </w:rPr>
        <w:t xml:space="preserve"> от кредитных организаций в указанный период необходимо </w:t>
      </w:r>
      <w:r>
        <w:rPr>
          <w:sz w:val="28"/>
          <w:szCs w:val="28"/>
        </w:rPr>
        <w:t>привлекать</w:t>
      </w:r>
      <w:r w:rsidR="00C53279" w:rsidRPr="00C53279">
        <w:rPr>
          <w:sz w:val="28"/>
          <w:szCs w:val="28"/>
        </w:rPr>
        <w:t xml:space="preserve"> по ставкам не более чем уровень ключевой ставки, установленный Банком России, увеличенный на один процент годовых. Да</w:t>
      </w:r>
      <w:r w:rsidR="00C53279">
        <w:rPr>
          <w:sz w:val="28"/>
          <w:szCs w:val="28"/>
        </w:rPr>
        <w:t>нное ограничение установлено</w:t>
      </w:r>
      <w:r w:rsidR="00C53279" w:rsidRPr="00C53279">
        <w:rPr>
          <w:sz w:val="28"/>
          <w:szCs w:val="28"/>
        </w:rPr>
        <w:t xml:space="preserve"> и для муниципальных образований Ивановской области. </w:t>
      </w:r>
    </w:p>
    <w:p w:rsidR="00875E69" w:rsidRDefault="00875E69" w:rsidP="00875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E69">
        <w:rPr>
          <w:sz w:val="28"/>
          <w:szCs w:val="28"/>
        </w:rPr>
        <w:t xml:space="preserve">Вопрос о размещении выпусков государственных </w:t>
      </w:r>
      <w:r w:rsidR="00B02970">
        <w:rPr>
          <w:sz w:val="28"/>
          <w:szCs w:val="28"/>
        </w:rPr>
        <w:t>ценных бумаг</w:t>
      </w:r>
      <w:r w:rsidR="00C53279">
        <w:rPr>
          <w:sz w:val="28"/>
          <w:szCs w:val="28"/>
        </w:rPr>
        <w:t xml:space="preserve"> Ивановской области</w:t>
      </w:r>
      <w:r w:rsidRPr="00875E69">
        <w:rPr>
          <w:sz w:val="28"/>
          <w:szCs w:val="28"/>
        </w:rPr>
        <w:t xml:space="preserve"> будет рассматриваться с учетом общего объема </w:t>
      </w:r>
      <w:r w:rsidRPr="00875E69">
        <w:rPr>
          <w:sz w:val="28"/>
          <w:szCs w:val="28"/>
        </w:rPr>
        <w:lastRenderedPageBreak/>
        <w:t xml:space="preserve">привлечения заимствований в соответствующем году, состояния </w:t>
      </w:r>
      <w:r w:rsidR="00C53279">
        <w:rPr>
          <w:sz w:val="28"/>
          <w:szCs w:val="28"/>
        </w:rPr>
        <w:t xml:space="preserve">рынка </w:t>
      </w:r>
      <w:r w:rsidRPr="00875E69">
        <w:rPr>
          <w:sz w:val="28"/>
          <w:szCs w:val="28"/>
        </w:rPr>
        <w:t>финансов</w:t>
      </w:r>
      <w:r w:rsidR="00C53279">
        <w:rPr>
          <w:sz w:val="28"/>
          <w:szCs w:val="28"/>
        </w:rPr>
        <w:t>ых услуг</w:t>
      </w:r>
      <w:r w:rsidRPr="00875E69">
        <w:rPr>
          <w:sz w:val="28"/>
          <w:szCs w:val="28"/>
        </w:rPr>
        <w:t xml:space="preserve"> и сравнительных условий </w:t>
      </w:r>
      <w:r w:rsidR="008D5E9F">
        <w:rPr>
          <w:sz w:val="28"/>
          <w:szCs w:val="28"/>
        </w:rPr>
        <w:t>рыночных з</w:t>
      </w:r>
      <w:r w:rsidRPr="00875E69">
        <w:rPr>
          <w:sz w:val="28"/>
          <w:szCs w:val="28"/>
        </w:rPr>
        <w:t xml:space="preserve">аимствований. </w:t>
      </w:r>
    </w:p>
    <w:p w:rsidR="00A16FE3" w:rsidRDefault="009218EA" w:rsidP="009218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Основным нерыночным инструментом будут выступать </w:t>
      </w:r>
      <w:r w:rsidR="005D163C">
        <w:rPr>
          <w:sz w:val="28"/>
          <w:szCs w:val="28"/>
        </w:rPr>
        <w:t xml:space="preserve">краткосрочные </w:t>
      </w:r>
      <w:r w:rsidR="00A16FE3">
        <w:rPr>
          <w:rFonts w:eastAsia="Calibri"/>
          <w:sz w:val="28"/>
          <w:szCs w:val="28"/>
          <w:lang w:eastAsia="en-US"/>
        </w:rPr>
        <w:t>бюджетные</w:t>
      </w:r>
      <w:r w:rsidR="00A16FE3" w:rsidRPr="00A16FE3">
        <w:rPr>
          <w:rFonts w:eastAsia="Calibri"/>
          <w:sz w:val="28"/>
          <w:szCs w:val="28"/>
          <w:lang w:eastAsia="en-US"/>
        </w:rPr>
        <w:t xml:space="preserve"> кредит</w:t>
      </w:r>
      <w:r w:rsidR="00A16FE3">
        <w:rPr>
          <w:rFonts w:eastAsia="Calibri"/>
          <w:sz w:val="28"/>
          <w:szCs w:val="28"/>
          <w:lang w:eastAsia="en-US"/>
        </w:rPr>
        <w:t>ы</w:t>
      </w:r>
      <w:r w:rsidR="00A16FE3" w:rsidRPr="00A16FE3">
        <w:rPr>
          <w:rFonts w:eastAsia="Calibri"/>
          <w:sz w:val="28"/>
          <w:szCs w:val="28"/>
          <w:lang w:eastAsia="en-US"/>
        </w:rPr>
        <w:t xml:space="preserve"> на пополнение остатков средств на счете областного бюджета</w:t>
      </w:r>
      <w:r w:rsidR="00A16FE3">
        <w:rPr>
          <w:rFonts w:eastAsia="Calibri"/>
          <w:sz w:val="28"/>
          <w:szCs w:val="28"/>
          <w:lang w:eastAsia="en-US"/>
        </w:rPr>
        <w:t>.</w:t>
      </w:r>
    </w:p>
    <w:p w:rsidR="00BB3581" w:rsidRDefault="004C1DB8" w:rsidP="009218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C3DB0">
        <w:rPr>
          <w:sz w:val="28"/>
          <w:szCs w:val="28"/>
        </w:rPr>
        <w:t>планом по оздоровлению финансов до 2024 года предоставление государственных гарантий Ивановской области не планируется.</w:t>
      </w:r>
    </w:p>
    <w:p w:rsidR="001D2A89" w:rsidRPr="00BB3581" w:rsidRDefault="00BB3581" w:rsidP="00BB3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долговой политики необходимо </w:t>
      </w:r>
      <w:r w:rsidR="008D5E9F">
        <w:rPr>
          <w:sz w:val="28"/>
          <w:szCs w:val="28"/>
        </w:rPr>
        <w:t xml:space="preserve">взаимодействие с участниками </w:t>
      </w:r>
      <w:r w:rsidRPr="00BB3581">
        <w:rPr>
          <w:sz w:val="28"/>
          <w:szCs w:val="28"/>
        </w:rPr>
        <w:t>рынка</w:t>
      </w:r>
      <w:r w:rsidR="008D5E9F">
        <w:rPr>
          <w:sz w:val="28"/>
          <w:szCs w:val="28"/>
        </w:rPr>
        <w:t xml:space="preserve"> финансовых услуг в целях </w:t>
      </w:r>
      <w:r w:rsidR="00A3543F">
        <w:rPr>
          <w:sz w:val="28"/>
          <w:szCs w:val="28"/>
        </w:rPr>
        <w:t>получения</w:t>
      </w:r>
      <w:r w:rsidRPr="00BB3581">
        <w:rPr>
          <w:sz w:val="28"/>
          <w:szCs w:val="28"/>
        </w:rPr>
        <w:t xml:space="preserve"> актуальной</w:t>
      </w:r>
      <w:r>
        <w:rPr>
          <w:sz w:val="28"/>
          <w:szCs w:val="28"/>
        </w:rPr>
        <w:t xml:space="preserve"> </w:t>
      </w:r>
      <w:r w:rsidRPr="00BB3581">
        <w:rPr>
          <w:sz w:val="28"/>
          <w:szCs w:val="28"/>
        </w:rPr>
        <w:t>информации о специфи</w:t>
      </w:r>
      <w:r>
        <w:rPr>
          <w:sz w:val="28"/>
          <w:szCs w:val="28"/>
        </w:rPr>
        <w:t>ке инвестиционного спроса по видам</w:t>
      </w:r>
      <w:r w:rsidR="00EE131F">
        <w:rPr>
          <w:sz w:val="28"/>
          <w:szCs w:val="28"/>
        </w:rPr>
        <w:t>, срокам и объемам государственных заимствований</w:t>
      </w:r>
      <w:r>
        <w:rPr>
          <w:sz w:val="28"/>
          <w:szCs w:val="28"/>
        </w:rPr>
        <w:t>.</w:t>
      </w:r>
    </w:p>
    <w:p w:rsidR="00BB3581" w:rsidRPr="00BB3581" w:rsidRDefault="00BB3581" w:rsidP="004714A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A0889" w:rsidRDefault="000A7E1C" w:rsidP="004714A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CC669F">
        <w:rPr>
          <w:b/>
          <w:sz w:val="28"/>
          <w:szCs w:val="28"/>
        </w:rPr>
        <w:t>6</w:t>
      </w:r>
      <w:r w:rsidR="00AA0889" w:rsidRPr="00AA0889">
        <w:rPr>
          <w:b/>
          <w:sz w:val="28"/>
          <w:szCs w:val="28"/>
        </w:rPr>
        <w:t xml:space="preserve">. </w:t>
      </w:r>
      <w:r w:rsidR="004714AC">
        <w:rPr>
          <w:b/>
          <w:sz w:val="28"/>
          <w:szCs w:val="28"/>
        </w:rPr>
        <w:t xml:space="preserve">Долговые </w:t>
      </w:r>
      <w:r w:rsidR="00AA0889" w:rsidRPr="00AA0889">
        <w:rPr>
          <w:b/>
          <w:sz w:val="28"/>
          <w:szCs w:val="28"/>
        </w:rPr>
        <w:t>риски</w:t>
      </w:r>
    </w:p>
    <w:p w:rsidR="00332AAC" w:rsidRPr="00AA0889" w:rsidRDefault="00332AAC" w:rsidP="005448C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A0889" w:rsidRPr="00AA0889" w:rsidRDefault="00CB497F" w:rsidP="005624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Своевременное в</w:t>
      </w:r>
      <w:r w:rsidR="00DE4952" w:rsidRPr="00AA0889">
        <w:rPr>
          <w:sz w:val="28"/>
          <w:szCs w:val="28"/>
        </w:rPr>
        <w:t xml:space="preserve">ыявление, контроль и оценка </w:t>
      </w:r>
      <w:r w:rsidR="00F308FF" w:rsidRPr="00AA0889">
        <w:rPr>
          <w:sz w:val="28"/>
          <w:szCs w:val="28"/>
        </w:rPr>
        <w:t>долговы</w:t>
      </w:r>
      <w:r>
        <w:rPr>
          <w:sz w:val="28"/>
          <w:szCs w:val="28"/>
        </w:rPr>
        <w:t>х</w:t>
      </w:r>
      <w:r w:rsidR="00F308FF" w:rsidRPr="00AA0889">
        <w:rPr>
          <w:sz w:val="28"/>
          <w:szCs w:val="28"/>
        </w:rPr>
        <w:t xml:space="preserve"> риск</w:t>
      </w:r>
      <w:r>
        <w:rPr>
          <w:sz w:val="28"/>
          <w:szCs w:val="28"/>
        </w:rPr>
        <w:t>ов</w:t>
      </w:r>
      <w:r w:rsidR="009E31B4">
        <w:rPr>
          <w:sz w:val="28"/>
          <w:szCs w:val="28"/>
        </w:rPr>
        <w:t xml:space="preserve"> </w:t>
      </w:r>
      <w:r w:rsidR="00AC1F04" w:rsidRPr="00AC1F04">
        <w:rPr>
          <w:sz w:val="28"/>
          <w:szCs w:val="28"/>
        </w:rPr>
        <w:t>сниж</w:t>
      </w:r>
      <w:r w:rsidR="00AC1F04">
        <w:rPr>
          <w:sz w:val="28"/>
          <w:szCs w:val="28"/>
        </w:rPr>
        <w:t>ают вероятность их наступления и</w:t>
      </w:r>
      <w:r w:rsidR="00AC1F04" w:rsidRPr="00AC1F04">
        <w:rPr>
          <w:sz w:val="28"/>
          <w:szCs w:val="28"/>
        </w:rPr>
        <w:t xml:space="preserve"> </w:t>
      </w:r>
      <w:r w:rsidR="00AA0889" w:rsidRPr="00AA0889">
        <w:rPr>
          <w:sz w:val="28"/>
          <w:szCs w:val="28"/>
        </w:rPr>
        <w:t>обеспечи</w:t>
      </w:r>
      <w:r w:rsidR="009E31B4">
        <w:rPr>
          <w:sz w:val="28"/>
          <w:szCs w:val="28"/>
        </w:rPr>
        <w:t>вают</w:t>
      </w:r>
      <w:r w:rsidR="00AA0889" w:rsidRPr="00AA0889">
        <w:rPr>
          <w:sz w:val="28"/>
          <w:szCs w:val="28"/>
        </w:rPr>
        <w:t xml:space="preserve"> </w:t>
      </w:r>
      <w:r w:rsidR="00CB057E">
        <w:rPr>
          <w:sz w:val="28"/>
          <w:szCs w:val="28"/>
        </w:rPr>
        <w:t>долгов</w:t>
      </w:r>
      <w:r w:rsidR="00262941">
        <w:rPr>
          <w:sz w:val="28"/>
          <w:szCs w:val="28"/>
        </w:rPr>
        <w:t>ую</w:t>
      </w:r>
      <w:r w:rsidR="00CB057E">
        <w:rPr>
          <w:sz w:val="28"/>
          <w:szCs w:val="28"/>
        </w:rPr>
        <w:t xml:space="preserve"> устойчивост</w:t>
      </w:r>
      <w:r w:rsidR="00262941">
        <w:rPr>
          <w:sz w:val="28"/>
          <w:szCs w:val="28"/>
        </w:rPr>
        <w:t>ь</w:t>
      </w:r>
      <w:r w:rsidR="00D12534">
        <w:rPr>
          <w:sz w:val="28"/>
          <w:szCs w:val="28"/>
        </w:rPr>
        <w:t xml:space="preserve"> Ивановской области</w:t>
      </w:r>
      <w:r w:rsidR="005624E0">
        <w:rPr>
          <w:sz w:val="28"/>
          <w:szCs w:val="28"/>
        </w:rPr>
        <w:t>.</w:t>
      </w:r>
    </w:p>
    <w:p w:rsidR="00AA0889" w:rsidRPr="00AA0889" w:rsidRDefault="0001760E" w:rsidP="00AA08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управлении</w:t>
      </w:r>
      <w:r w:rsidR="00150359">
        <w:rPr>
          <w:sz w:val="28"/>
          <w:szCs w:val="28"/>
        </w:rPr>
        <w:t xml:space="preserve"> долговыми рисками осуществляю</w:t>
      </w:r>
      <w:r w:rsidR="00AA0889" w:rsidRPr="00AA0889">
        <w:rPr>
          <w:sz w:val="28"/>
          <w:szCs w:val="28"/>
        </w:rPr>
        <w:t>тся:</w:t>
      </w:r>
    </w:p>
    <w:p w:rsidR="00AA0889" w:rsidRPr="00AA0889" w:rsidRDefault="00513DB0" w:rsidP="00AA0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оценка</w:t>
      </w:r>
      <w:r w:rsidR="00AA0889" w:rsidRPr="00AA0889">
        <w:rPr>
          <w:sz w:val="28"/>
          <w:szCs w:val="28"/>
        </w:rPr>
        <w:t xml:space="preserve"> </w:t>
      </w:r>
      <w:r w:rsidR="0078384D">
        <w:rPr>
          <w:sz w:val="28"/>
          <w:szCs w:val="28"/>
        </w:rPr>
        <w:t xml:space="preserve">и анализ </w:t>
      </w:r>
      <w:r w:rsidR="00AA0889" w:rsidRPr="00AA0889">
        <w:rPr>
          <w:sz w:val="28"/>
          <w:szCs w:val="28"/>
        </w:rPr>
        <w:t>долговых</w:t>
      </w:r>
      <w:r w:rsidR="00BF437B">
        <w:rPr>
          <w:sz w:val="28"/>
          <w:szCs w:val="28"/>
        </w:rPr>
        <w:t xml:space="preserve"> рисков</w:t>
      </w:r>
      <w:r w:rsidR="00AA0889" w:rsidRPr="00AA0889">
        <w:rPr>
          <w:sz w:val="28"/>
          <w:szCs w:val="28"/>
        </w:rPr>
        <w:t>;</w:t>
      </w:r>
    </w:p>
    <w:p w:rsidR="00AA0889" w:rsidRPr="00AA0889" w:rsidRDefault="005B6B0F" w:rsidP="00AA0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</w:t>
      </w:r>
      <w:r w:rsidR="00AA0889" w:rsidRPr="00AA0889">
        <w:rPr>
          <w:sz w:val="28"/>
          <w:szCs w:val="28"/>
        </w:rPr>
        <w:t xml:space="preserve"> долговой стратегии в течение финансового года</w:t>
      </w:r>
      <w:r w:rsidR="00756CCC">
        <w:rPr>
          <w:sz w:val="28"/>
          <w:szCs w:val="28"/>
        </w:rPr>
        <w:t xml:space="preserve"> с учетом </w:t>
      </w:r>
      <w:r w:rsidR="00756CCC" w:rsidRPr="00756CCC">
        <w:rPr>
          <w:sz w:val="28"/>
          <w:szCs w:val="28"/>
        </w:rPr>
        <w:t>оценк</w:t>
      </w:r>
      <w:r w:rsidR="00756CCC">
        <w:rPr>
          <w:sz w:val="28"/>
          <w:szCs w:val="28"/>
        </w:rPr>
        <w:t>и</w:t>
      </w:r>
      <w:r w:rsidR="00756CCC" w:rsidRPr="00756CCC">
        <w:rPr>
          <w:sz w:val="28"/>
          <w:szCs w:val="28"/>
        </w:rPr>
        <w:t xml:space="preserve"> и анализ</w:t>
      </w:r>
      <w:r w:rsidR="00B40C94">
        <w:rPr>
          <w:sz w:val="28"/>
          <w:szCs w:val="28"/>
        </w:rPr>
        <w:t>а</w:t>
      </w:r>
      <w:r w:rsidR="00756CCC" w:rsidRPr="00756CCC">
        <w:rPr>
          <w:sz w:val="28"/>
          <w:szCs w:val="28"/>
        </w:rPr>
        <w:t xml:space="preserve"> долговых рисков</w:t>
      </w:r>
      <w:r w:rsidR="00AA0889" w:rsidRPr="00AA0889">
        <w:rPr>
          <w:sz w:val="28"/>
          <w:szCs w:val="28"/>
        </w:rPr>
        <w:t>;</w:t>
      </w:r>
    </w:p>
    <w:p w:rsidR="00AA0889" w:rsidRPr="00AA0889" w:rsidRDefault="00AA0889" w:rsidP="00AA0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889">
        <w:rPr>
          <w:sz w:val="28"/>
          <w:szCs w:val="28"/>
        </w:rPr>
        <w:t xml:space="preserve">3) </w:t>
      </w:r>
      <w:r w:rsidR="009E1D5D">
        <w:rPr>
          <w:sz w:val="28"/>
          <w:szCs w:val="28"/>
        </w:rPr>
        <w:t>анализ</w:t>
      </w:r>
      <w:r w:rsidRPr="00AA0889">
        <w:rPr>
          <w:sz w:val="28"/>
          <w:szCs w:val="28"/>
        </w:rPr>
        <w:t xml:space="preserve"> </w:t>
      </w:r>
      <w:r w:rsidR="00A60F1E">
        <w:rPr>
          <w:sz w:val="28"/>
          <w:szCs w:val="28"/>
        </w:rPr>
        <w:t xml:space="preserve">достижения </w:t>
      </w:r>
      <w:r w:rsidRPr="00AA0889">
        <w:rPr>
          <w:sz w:val="28"/>
          <w:szCs w:val="28"/>
        </w:rPr>
        <w:t xml:space="preserve">поставленных целей и </w:t>
      </w:r>
      <w:r w:rsidR="00A60F1E">
        <w:rPr>
          <w:sz w:val="28"/>
          <w:szCs w:val="28"/>
        </w:rPr>
        <w:t xml:space="preserve">реализации </w:t>
      </w:r>
      <w:r w:rsidRPr="00AA0889">
        <w:rPr>
          <w:sz w:val="28"/>
          <w:szCs w:val="28"/>
        </w:rPr>
        <w:t>задач</w:t>
      </w:r>
      <w:r w:rsidR="00A60F1E">
        <w:rPr>
          <w:sz w:val="28"/>
          <w:szCs w:val="28"/>
        </w:rPr>
        <w:t xml:space="preserve"> долговой политики</w:t>
      </w:r>
      <w:r w:rsidRPr="00AA0889">
        <w:rPr>
          <w:sz w:val="28"/>
          <w:szCs w:val="28"/>
        </w:rPr>
        <w:t>.</w:t>
      </w:r>
    </w:p>
    <w:p w:rsidR="00160B0A" w:rsidRDefault="003137D0" w:rsidP="00AA08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и анализ</w:t>
      </w:r>
      <w:r w:rsidR="00AA0889" w:rsidRPr="00AA0889">
        <w:rPr>
          <w:sz w:val="28"/>
          <w:szCs w:val="28"/>
        </w:rPr>
        <w:t xml:space="preserve"> </w:t>
      </w:r>
      <w:r w:rsidR="00017CD1">
        <w:rPr>
          <w:sz w:val="28"/>
          <w:szCs w:val="28"/>
        </w:rPr>
        <w:t xml:space="preserve">долговых рисков </w:t>
      </w:r>
      <w:r w:rsidR="00AA0889" w:rsidRPr="00AA0889">
        <w:rPr>
          <w:sz w:val="28"/>
          <w:szCs w:val="28"/>
        </w:rPr>
        <w:t>представляет собой оценку потенциального воздействия на состояние государственного долга фактор</w:t>
      </w:r>
      <w:r w:rsidR="002A4494">
        <w:rPr>
          <w:sz w:val="28"/>
          <w:szCs w:val="28"/>
        </w:rPr>
        <w:t>ов</w:t>
      </w:r>
      <w:r w:rsidR="00AA0889" w:rsidRPr="00AA0889">
        <w:rPr>
          <w:sz w:val="28"/>
          <w:szCs w:val="28"/>
        </w:rPr>
        <w:t xml:space="preserve"> риска, которые </w:t>
      </w:r>
      <w:r w:rsidR="007746EB">
        <w:rPr>
          <w:sz w:val="28"/>
          <w:szCs w:val="28"/>
        </w:rPr>
        <w:t xml:space="preserve">прогнозируются </w:t>
      </w:r>
      <w:r w:rsidR="001D0DC1" w:rsidRPr="00AA0889">
        <w:rPr>
          <w:sz w:val="28"/>
          <w:szCs w:val="28"/>
        </w:rPr>
        <w:t xml:space="preserve">экспертным методом </w:t>
      </w:r>
      <w:r w:rsidR="007746EB">
        <w:rPr>
          <w:sz w:val="28"/>
          <w:szCs w:val="28"/>
        </w:rPr>
        <w:t xml:space="preserve">на основании наиболее </w:t>
      </w:r>
      <w:r w:rsidR="00AA0889" w:rsidRPr="00AA0889">
        <w:rPr>
          <w:sz w:val="28"/>
          <w:szCs w:val="28"/>
        </w:rPr>
        <w:t>вероятны</w:t>
      </w:r>
      <w:r w:rsidR="007746EB">
        <w:rPr>
          <w:sz w:val="28"/>
          <w:szCs w:val="28"/>
        </w:rPr>
        <w:t>х событий</w:t>
      </w:r>
      <w:r w:rsidR="00AA0889" w:rsidRPr="00AA0889">
        <w:rPr>
          <w:sz w:val="28"/>
          <w:szCs w:val="28"/>
        </w:rPr>
        <w:t xml:space="preserve">. </w:t>
      </w:r>
      <w:r w:rsidR="00692C40" w:rsidRPr="00692C40">
        <w:rPr>
          <w:sz w:val="28"/>
          <w:szCs w:val="28"/>
        </w:rPr>
        <w:t xml:space="preserve">Оценка и анализ долговых рисков </w:t>
      </w:r>
      <w:r w:rsidR="00AA0889" w:rsidRPr="00AA0889">
        <w:rPr>
          <w:sz w:val="28"/>
          <w:szCs w:val="28"/>
        </w:rPr>
        <w:t>позволя</w:t>
      </w:r>
      <w:r w:rsidR="00692C40">
        <w:rPr>
          <w:sz w:val="28"/>
          <w:szCs w:val="28"/>
        </w:rPr>
        <w:t>ю</w:t>
      </w:r>
      <w:r w:rsidR="00AA0889" w:rsidRPr="00AA0889">
        <w:rPr>
          <w:sz w:val="28"/>
          <w:szCs w:val="28"/>
        </w:rPr>
        <w:t xml:space="preserve">т выявить </w:t>
      </w:r>
      <w:r w:rsidR="00787A59">
        <w:rPr>
          <w:sz w:val="28"/>
          <w:szCs w:val="28"/>
        </w:rPr>
        <w:t>н</w:t>
      </w:r>
      <w:r w:rsidR="00787A59" w:rsidRPr="00AA0889">
        <w:rPr>
          <w:sz w:val="28"/>
          <w:szCs w:val="28"/>
        </w:rPr>
        <w:t>аиболее существенны</w:t>
      </w:r>
      <w:r w:rsidR="00787A59">
        <w:rPr>
          <w:sz w:val="28"/>
          <w:szCs w:val="28"/>
        </w:rPr>
        <w:t>е</w:t>
      </w:r>
      <w:r w:rsidR="00787A59" w:rsidRPr="00AA0889">
        <w:rPr>
          <w:sz w:val="28"/>
          <w:szCs w:val="28"/>
        </w:rPr>
        <w:t xml:space="preserve"> </w:t>
      </w:r>
      <w:r w:rsidR="00AA0889" w:rsidRPr="00AA0889">
        <w:rPr>
          <w:sz w:val="28"/>
          <w:szCs w:val="28"/>
        </w:rPr>
        <w:t>долговые риски</w:t>
      </w:r>
      <w:r w:rsidR="00160B0A">
        <w:rPr>
          <w:sz w:val="28"/>
          <w:szCs w:val="28"/>
        </w:rPr>
        <w:t>:</w:t>
      </w:r>
    </w:p>
    <w:p w:rsidR="00787A59" w:rsidRDefault="00160B0A" w:rsidP="00AA08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87A59" w:rsidRPr="00AA0889">
        <w:rPr>
          <w:sz w:val="28"/>
          <w:szCs w:val="28"/>
        </w:rPr>
        <w:t>риск рефинансирования</w:t>
      </w:r>
      <w:r w:rsidR="00787A59">
        <w:rPr>
          <w:sz w:val="28"/>
          <w:szCs w:val="28"/>
        </w:rPr>
        <w:t>;</w:t>
      </w:r>
    </w:p>
    <w:p w:rsidR="00787A59" w:rsidRDefault="00787A59" w:rsidP="00AA08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A0889">
        <w:rPr>
          <w:sz w:val="28"/>
          <w:szCs w:val="28"/>
        </w:rPr>
        <w:t>п</w:t>
      </w:r>
      <w:r>
        <w:rPr>
          <w:sz w:val="28"/>
          <w:szCs w:val="28"/>
        </w:rPr>
        <w:t>роцентный риск;</w:t>
      </w:r>
    </w:p>
    <w:p w:rsidR="00787A59" w:rsidRDefault="00787A59" w:rsidP="00AA08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операционный риск</w:t>
      </w:r>
      <w:r w:rsidR="00ED2B6D">
        <w:rPr>
          <w:sz w:val="28"/>
          <w:szCs w:val="28"/>
        </w:rPr>
        <w:t>.</w:t>
      </w:r>
    </w:p>
    <w:p w:rsidR="00AA0889" w:rsidRPr="009221B6" w:rsidRDefault="00AA0889" w:rsidP="00AA0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889">
        <w:rPr>
          <w:sz w:val="28"/>
          <w:szCs w:val="28"/>
        </w:rPr>
        <w:t xml:space="preserve">Риск рефинансирования – отсутствие возможности осуществить на приемлемых условиях новые </w:t>
      </w:r>
      <w:r w:rsidR="003A41A5" w:rsidRPr="009221B6">
        <w:rPr>
          <w:sz w:val="28"/>
          <w:szCs w:val="28"/>
        </w:rPr>
        <w:t>государственные</w:t>
      </w:r>
      <w:r w:rsidR="003A41A5">
        <w:rPr>
          <w:sz w:val="28"/>
          <w:szCs w:val="28"/>
        </w:rPr>
        <w:t xml:space="preserve"> </w:t>
      </w:r>
      <w:r w:rsidRPr="00AA0889">
        <w:rPr>
          <w:sz w:val="28"/>
          <w:szCs w:val="28"/>
        </w:rPr>
        <w:t xml:space="preserve">заимствования для </w:t>
      </w:r>
      <w:r w:rsidR="00E25451">
        <w:rPr>
          <w:sz w:val="28"/>
          <w:szCs w:val="28"/>
        </w:rPr>
        <w:t xml:space="preserve">своевременного </w:t>
      </w:r>
      <w:r w:rsidRPr="00AA0889">
        <w:rPr>
          <w:sz w:val="28"/>
          <w:szCs w:val="28"/>
        </w:rPr>
        <w:t xml:space="preserve">погашения </w:t>
      </w:r>
      <w:r w:rsidR="00E25451">
        <w:rPr>
          <w:sz w:val="28"/>
          <w:szCs w:val="28"/>
        </w:rPr>
        <w:t>долговых обязательств</w:t>
      </w:r>
      <w:r w:rsidRPr="00AA0889">
        <w:rPr>
          <w:sz w:val="28"/>
          <w:szCs w:val="28"/>
        </w:rPr>
        <w:t xml:space="preserve">. В целях оценки риска рефинансирования необходимо на постоянной основе осуществлять мониторинг </w:t>
      </w:r>
      <w:r w:rsidR="007A7C07">
        <w:rPr>
          <w:sz w:val="28"/>
          <w:szCs w:val="28"/>
        </w:rPr>
        <w:t>рынка финансовых услуг</w:t>
      </w:r>
      <w:r w:rsidRPr="00AA0889">
        <w:rPr>
          <w:sz w:val="28"/>
          <w:szCs w:val="28"/>
        </w:rPr>
        <w:t xml:space="preserve">, сопоставляя складывающиеся на нем тенденции с графиком погашения </w:t>
      </w:r>
      <w:r w:rsidR="00702CB6">
        <w:rPr>
          <w:sz w:val="28"/>
          <w:szCs w:val="28"/>
        </w:rPr>
        <w:t>долговых обязательств.</w:t>
      </w:r>
      <w:r w:rsidR="00B40BA8">
        <w:rPr>
          <w:sz w:val="28"/>
          <w:szCs w:val="28"/>
        </w:rPr>
        <w:t xml:space="preserve"> </w:t>
      </w:r>
      <w:r w:rsidR="00756460" w:rsidRPr="00F86180">
        <w:rPr>
          <w:sz w:val="28"/>
          <w:szCs w:val="28"/>
        </w:rPr>
        <w:t>Способами</w:t>
      </w:r>
      <w:r w:rsidRPr="00F86180">
        <w:rPr>
          <w:sz w:val="28"/>
          <w:szCs w:val="28"/>
        </w:rPr>
        <w:t xml:space="preserve"> управления риском</w:t>
      </w:r>
      <w:r w:rsidR="00756460" w:rsidRPr="00F86180">
        <w:rPr>
          <w:sz w:val="28"/>
          <w:szCs w:val="28"/>
        </w:rPr>
        <w:t xml:space="preserve"> </w:t>
      </w:r>
      <w:r w:rsidR="00CE1DD3" w:rsidRPr="00F86180">
        <w:rPr>
          <w:sz w:val="28"/>
          <w:szCs w:val="28"/>
        </w:rPr>
        <w:t xml:space="preserve">рефинансирования </w:t>
      </w:r>
      <w:r w:rsidR="00756460" w:rsidRPr="00F86180">
        <w:rPr>
          <w:sz w:val="28"/>
          <w:szCs w:val="28"/>
        </w:rPr>
        <w:t>являются</w:t>
      </w:r>
      <w:r w:rsidR="002671B5">
        <w:rPr>
          <w:sz w:val="28"/>
          <w:szCs w:val="28"/>
        </w:rPr>
        <w:t xml:space="preserve"> </w:t>
      </w:r>
      <w:r w:rsidR="00253B93">
        <w:rPr>
          <w:sz w:val="28"/>
          <w:szCs w:val="28"/>
        </w:rPr>
        <w:t xml:space="preserve">увеличение доли </w:t>
      </w:r>
      <w:r w:rsidR="00F87D1A">
        <w:rPr>
          <w:sz w:val="28"/>
          <w:szCs w:val="28"/>
        </w:rPr>
        <w:t>среднесрочных и долгосрочных</w:t>
      </w:r>
      <w:r w:rsidR="00253B93">
        <w:rPr>
          <w:sz w:val="28"/>
          <w:szCs w:val="28"/>
        </w:rPr>
        <w:t xml:space="preserve"> </w:t>
      </w:r>
      <w:r w:rsidR="009F669D" w:rsidRPr="009F669D">
        <w:rPr>
          <w:sz w:val="28"/>
          <w:szCs w:val="28"/>
        </w:rPr>
        <w:t xml:space="preserve">долговых обязательств, возникающих из </w:t>
      </w:r>
      <w:r w:rsidR="003A41A5" w:rsidRPr="009F669D">
        <w:rPr>
          <w:sz w:val="28"/>
          <w:szCs w:val="28"/>
        </w:rPr>
        <w:t xml:space="preserve">кредитов, привлеченных от кредитных организаций </w:t>
      </w:r>
      <w:r w:rsidR="003A41A5">
        <w:rPr>
          <w:sz w:val="28"/>
          <w:szCs w:val="28"/>
        </w:rPr>
        <w:t xml:space="preserve">и </w:t>
      </w:r>
      <w:r w:rsidR="009F669D" w:rsidRPr="009F669D">
        <w:rPr>
          <w:sz w:val="28"/>
          <w:szCs w:val="28"/>
        </w:rPr>
        <w:t>государственных ценных бумаг Ивановской области, в общем объеме долговых обязательств</w:t>
      </w:r>
      <w:r w:rsidRPr="009B2A38">
        <w:rPr>
          <w:sz w:val="28"/>
          <w:szCs w:val="28"/>
        </w:rPr>
        <w:t>;</w:t>
      </w:r>
      <w:r w:rsidRPr="00AA0889">
        <w:rPr>
          <w:sz w:val="28"/>
          <w:szCs w:val="28"/>
        </w:rPr>
        <w:t xml:space="preserve"> </w:t>
      </w:r>
      <w:r w:rsidR="00D300A5" w:rsidRPr="00D300A5">
        <w:rPr>
          <w:sz w:val="28"/>
          <w:szCs w:val="28"/>
        </w:rPr>
        <w:t xml:space="preserve">распределение платежей по обслуживанию и погашению долговых обязательств </w:t>
      </w:r>
      <w:r w:rsidR="00F87D1A">
        <w:rPr>
          <w:sz w:val="28"/>
          <w:szCs w:val="28"/>
        </w:rPr>
        <w:t xml:space="preserve">по годам </w:t>
      </w:r>
      <w:r w:rsidR="00D300A5" w:rsidRPr="00D300A5">
        <w:rPr>
          <w:sz w:val="28"/>
          <w:szCs w:val="28"/>
        </w:rPr>
        <w:t xml:space="preserve">в целях недопущения пиковых нагрузок на </w:t>
      </w:r>
      <w:r w:rsidR="00572EC4">
        <w:rPr>
          <w:sz w:val="28"/>
          <w:szCs w:val="28"/>
        </w:rPr>
        <w:t xml:space="preserve">областной </w:t>
      </w:r>
      <w:r w:rsidR="00D300A5" w:rsidRPr="00D300A5">
        <w:rPr>
          <w:sz w:val="28"/>
          <w:szCs w:val="28"/>
        </w:rPr>
        <w:lastRenderedPageBreak/>
        <w:t>бюджет;</w:t>
      </w:r>
      <w:r w:rsidR="00D300A5">
        <w:rPr>
          <w:sz w:val="28"/>
          <w:szCs w:val="28"/>
        </w:rPr>
        <w:t xml:space="preserve"> </w:t>
      </w:r>
      <w:r w:rsidRPr="00AA0889">
        <w:rPr>
          <w:sz w:val="28"/>
          <w:szCs w:val="28"/>
        </w:rPr>
        <w:t>использ</w:t>
      </w:r>
      <w:r w:rsidR="00B259FD">
        <w:rPr>
          <w:sz w:val="28"/>
          <w:szCs w:val="28"/>
        </w:rPr>
        <w:t xml:space="preserve">ование различных </w:t>
      </w:r>
      <w:r w:rsidR="00D46E28" w:rsidRPr="009221B6">
        <w:rPr>
          <w:sz w:val="28"/>
          <w:szCs w:val="28"/>
        </w:rPr>
        <w:t>инструментов</w:t>
      </w:r>
      <w:r w:rsidR="00897CEB" w:rsidRPr="009221B6">
        <w:rPr>
          <w:sz w:val="28"/>
          <w:szCs w:val="28"/>
        </w:rPr>
        <w:t xml:space="preserve"> реализации долговой политики</w:t>
      </w:r>
      <w:r w:rsidR="00D46E28" w:rsidRPr="009221B6">
        <w:rPr>
          <w:sz w:val="28"/>
          <w:szCs w:val="28"/>
        </w:rPr>
        <w:t>.</w:t>
      </w:r>
    </w:p>
    <w:p w:rsidR="00AA0889" w:rsidRPr="00AA0889" w:rsidRDefault="00AA0889" w:rsidP="00AA0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889">
        <w:rPr>
          <w:sz w:val="28"/>
          <w:szCs w:val="28"/>
        </w:rPr>
        <w:t xml:space="preserve">Процентный риск – вероятность увеличения суммы расходов </w:t>
      </w:r>
      <w:r w:rsidR="00B116B6">
        <w:rPr>
          <w:sz w:val="28"/>
          <w:szCs w:val="28"/>
        </w:rPr>
        <w:t xml:space="preserve">областного </w:t>
      </w:r>
      <w:r w:rsidRPr="00AA0889">
        <w:rPr>
          <w:sz w:val="28"/>
          <w:szCs w:val="28"/>
        </w:rPr>
        <w:t>бюджета на обслуживание государственного долга вследствие увеличения процентных ставок</w:t>
      </w:r>
      <w:r w:rsidR="00F74E6D">
        <w:rPr>
          <w:sz w:val="28"/>
          <w:szCs w:val="28"/>
        </w:rPr>
        <w:t xml:space="preserve"> по кредитам</w:t>
      </w:r>
      <w:r w:rsidR="00F87D1A">
        <w:rPr>
          <w:sz w:val="28"/>
          <w:szCs w:val="28"/>
        </w:rPr>
        <w:t xml:space="preserve"> от</w:t>
      </w:r>
      <w:r w:rsidR="00891330">
        <w:rPr>
          <w:sz w:val="28"/>
          <w:szCs w:val="28"/>
        </w:rPr>
        <w:t xml:space="preserve"> кредитных организаций</w:t>
      </w:r>
      <w:r w:rsidRPr="00AA0889">
        <w:rPr>
          <w:sz w:val="28"/>
          <w:szCs w:val="28"/>
        </w:rPr>
        <w:t xml:space="preserve">. </w:t>
      </w:r>
      <w:r w:rsidRPr="009221B6">
        <w:rPr>
          <w:sz w:val="28"/>
          <w:szCs w:val="28"/>
        </w:rPr>
        <w:t xml:space="preserve">Оценка риска осуществляется путем анализа стоимости </w:t>
      </w:r>
      <w:r w:rsidR="009F51E2" w:rsidRPr="009221B6">
        <w:rPr>
          <w:sz w:val="28"/>
          <w:szCs w:val="28"/>
        </w:rPr>
        <w:t xml:space="preserve">обслуживания </w:t>
      </w:r>
      <w:r w:rsidR="00572EC4" w:rsidRPr="009221B6">
        <w:rPr>
          <w:sz w:val="28"/>
          <w:szCs w:val="28"/>
        </w:rPr>
        <w:t>государственных ценных бумаг, кредитов</w:t>
      </w:r>
      <w:r w:rsidR="009F51E2" w:rsidRPr="009221B6">
        <w:rPr>
          <w:sz w:val="28"/>
          <w:szCs w:val="28"/>
        </w:rPr>
        <w:t xml:space="preserve"> </w:t>
      </w:r>
      <w:r w:rsidR="00572EC4" w:rsidRPr="009221B6">
        <w:rPr>
          <w:sz w:val="28"/>
          <w:szCs w:val="28"/>
        </w:rPr>
        <w:t>кредитных организаций</w:t>
      </w:r>
      <w:r w:rsidR="00572EC4" w:rsidRPr="00572EC4">
        <w:rPr>
          <w:sz w:val="28"/>
          <w:szCs w:val="28"/>
        </w:rPr>
        <w:t xml:space="preserve"> </w:t>
      </w:r>
      <w:r w:rsidRPr="00AA0889">
        <w:rPr>
          <w:sz w:val="28"/>
          <w:szCs w:val="28"/>
        </w:rPr>
        <w:t>пр</w:t>
      </w:r>
      <w:r w:rsidR="00E01F34">
        <w:rPr>
          <w:sz w:val="28"/>
          <w:szCs w:val="28"/>
        </w:rPr>
        <w:t xml:space="preserve">и различных сценариях изменения </w:t>
      </w:r>
      <w:r w:rsidRPr="00AA0889">
        <w:rPr>
          <w:sz w:val="28"/>
          <w:szCs w:val="28"/>
        </w:rPr>
        <w:t xml:space="preserve">процентных ставок на рынке </w:t>
      </w:r>
      <w:r w:rsidR="00392974">
        <w:rPr>
          <w:sz w:val="28"/>
          <w:szCs w:val="28"/>
        </w:rPr>
        <w:t>финансовых услуг</w:t>
      </w:r>
      <w:r w:rsidRPr="00AA0889">
        <w:rPr>
          <w:sz w:val="28"/>
          <w:szCs w:val="28"/>
        </w:rPr>
        <w:t xml:space="preserve">, планирования и привлечения новых </w:t>
      </w:r>
      <w:r w:rsidR="00167685">
        <w:rPr>
          <w:sz w:val="28"/>
          <w:szCs w:val="28"/>
        </w:rPr>
        <w:t xml:space="preserve">государственных </w:t>
      </w:r>
      <w:r w:rsidRPr="00AA0889">
        <w:rPr>
          <w:sz w:val="28"/>
          <w:szCs w:val="28"/>
        </w:rPr>
        <w:t>заимствований</w:t>
      </w:r>
      <w:r w:rsidR="00627402" w:rsidRPr="00627402">
        <w:rPr>
          <w:i/>
          <w:sz w:val="28"/>
          <w:szCs w:val="28"/>
        </w:rPr>
        <w:t xml:space="preserve"> </w:t>
      </w:r>
      <w:r w:rsidRPr="00AA0889">
        <w:rPr>
          <w:sz w:val="28"/>
          <w:szCs w:val="28"/>
        </w:rPr>
        <w:t xml:space="preserve">путем выбора таких </w:t>
      </w:r>
      <w:r w:rsidR="00627402" w:rsidRPr="009221B6">
        <w:rPr>
          <w:sz w:val="28"/>
          <w:szCs w:val="28"/>
        </w:rPr>
        <w:t>инструментов реализации долговой политики</w:t>
      </w:r>
      <w:r w:rsidRPr="00AA0889">
        <w:rPr>
          <w:sz w:val="28"/>
          <w:szCs w:val="28"/>
        </w:rPr>
        <w:t>, для которых данный риск отсутствует</w:t>
      </w:r>
      <w:r w:rsidR="00E40F54">
        <w:rPr>
          <w:sz w:val="28"/>
          <w:szCs w:val="28"/>
        </w:rPr>
        <w:t>,</w:t>
      </w:r>
      <w:r w:rsidRPr="00AA0889">
        <w:rPr>
          <w:sz w:val="28"/>
          <w:szCs w:val="28"/>
        </w:rPr>
        <w:t xml:space="preserve"> либо минимал</w:t>
      </w:r>
      <w:r w:rsidR="00392974">
        <w:rPr>
          <w:sz w:val="28"/>
          <w:szCs w:val="28"/>
        </w:rPr>
        <w:t>ен</w:t>
      </w:r>
      <w:r w:rsidRPr="00AA0889">
        <w:rPr>
          <w:sz w:val="28"/>
          <w:szCs w:val="28"/>
        </w:rPr>
        <w:t xml:space="preserve">. </w:t>
      </w:r>
      <w:r w:rsidR="00FB5D6D">
        <w:rPr>
          <w:sz w:val="28"/>
          <w:szCs w:val="28"/>
        </w:rPr>
        <w:t xml:space="preserve">Такой механизм </w:t>
      </w:r>
      <w:r w:rsidRPr="00AA0889">
        <w:rPr>
          <w:sz w:val="28"/>
          <w:szCs w:val="28"/>
        </w:rPr>
        <w:t xml:space="preserve">позволяет </w:t>
      </w:r>
      <w:r w:rsidR="00B14BB2">
        <w:rPr>
          <w:sz w:val="28"/>
          <w:szCs w:val="28"/>
        </w:rPr>
        <w:t xml:space="preserve">обеспечить </w:t>
      </w:r>
      <w:r w:rsidRPr="00AA0889">
        <w:rPr>
          <w:sz w:val="28"/>
          <w:szCs w:val="28"/>
        </w:rPr>
        <w:t>сни</w:t>
      </w:r>
      <w:r w:rsidR="00B14BB2">
        <w:rPr>
          <w:sz w:val="28"/>
          <w:szCs w:val="28"/>
        </w:rPr>
        <w:t>жение</w:t>
      </w:r>
      <w:r w:rsidRPr="00AA0889">
        <w:rPr>
          <w:sz w:val="28"/>
          <w:szCs w:val="28"/>
        </w:rPr>
        <w:t xml:space="preserve"> расход</w:t>
      </w:r>
      <w:r w:rsidR="00B14BB2">
        <w:rPr>
          <w:sz w:val="28"/>
          <w:szCs w:val="28"/>
        </w:rPr>
        <w:t>ов</w:t>
      </w:r>
      <w:r w:rsidRPr="00AA0889">
        <w:rPr>
          <w:sz w:val="28"/>
          <w:szCs w:val="28"/>
        </w:rPr>
        <w:t xml:space="preserve"> </w:t>
      </w:r>
      <w:r w:rsidR="00167685">
        <w:rPr>
          <w:sz w:val="28"/>
          <w:szCs w:val="28"/>
        </w:rPr>
        <w:t xml:space="preserve">областного бюджета </w:t>
      </w:r>
      <w:r w:rsidRPr="00AA0889">
        <w:rPr>
          <w:sz w:val="28"/>
          <w:szCs w:val="28"/>
        </w:rPr>
        <w:t>на обслуживание государственного долга и одновременно минимизировать риск рефинансирования.</w:t>
      </w:r>
    </w:p>
    <w:p w:rsidR="00AA0889" w:rsidRPr="00AA0889" w:rsidRDefault="00AA0889" w:rsidP="00AA0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889">
        <w:rPr>
          <w:sz w:val="28"/>
          <w:szCs w:val="28"/>
        </w:rPr>
        <w:t xml:space="preserve">Операционный риск – вероятность возникновения потерь (убытков) и (или) дополнительных затрат из-за несоответствия лучшим практикам установленных порядков и процедур совершения </w:t>
      </w:r>
      <w:r w:rsidR="00135016">
        <w:rPr>
          <w:sz w:val="28"/>
          <w:szCs w:val="28"/>
        </w:rPr>
        <w:t>финансово-</w:t>
      </w:r>
      <w:r w:rsidRPr="00AA0889">
        <w:rPr>
          <w:sz w:val="28"/>
          <w:szCs w:val="28"/>
        </w:rPr>
        <w:t>долговых операций и других сделок, а также нарушения бюджетного законодательства, иных правил управления государственным долгом, включая некомпетентность или ошибки сотрудников, сбоев или отказа используемых учетно-расчетных, информационных и иных систем</w:t>
      </w:r>
      <w:r w:rsidRPr="00F55AFF">
        <w:rPr>
          <w:sz w:val="28"/>
          <w:szCs w:val="28"/>
        </w:rPr>
        <w:t xml:space="preserve">. В целях противодействия возникновению операционного риска необходимо использование </w:t>
      </w:r>
      <w:r w:rsidR="00B72BB8" w:rsidRPr="009221B6">
        <w:rPr>
          <w:sz w:val="28"/>
          <w:szCs w:val="28"/>
        </w:rPr>
        <w:t>правовых актов,</w:t>
      </w:r>
      <w:r w:rsidR="00B72BB8">
        <w:rPr>
          <w:sz w:val="28"/>
          <w:szCs w:val="28"/>
        </w:rPr>
        <w:t xml:space="preserve"> </w:t>
      </w:r>
      <w:r w:rsidRPr="00F55AFF">
        <w:rPr>
          <w:sz w:val="28"/>
          <w:szCs w:val="28"/>
        </w:rPr>
        <w:t>положений, регламентов, правил, принятых в сферах управления государственным долгом и контроля за осуществляемыми операциями, а также эффективных механизмов отчетности.</w:t>
      </w:r>
    </w:p>
    <w:p w:rsidR="00940DAD" w:rsidRDefault="008E2AD6" w:rsidP="00B72B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реализации долговой политики также необходимо учитывать </w:t>
      </w:r>
      <w:r w:rsidR="00787A59" w:rsidRPr="001B3306">
        <w:rPr>
          <w:sz w:val="28"/>
          <w:szCs w:val="28"/>
        </w:rPr>
        <w:t xml:space="preserve">риск недостаточного поступления налоговых и неналоговых доходов в </w:t>
      </w:r>
      <w:r w:rsidR="00B72BB8" w:rsidRPr="009221B6">
        <w:rPr>
          <w:sz w:val="28"/>
          <w:szCs w:val="28"/>
        </w:rPr>
        <w:t xml:space="preserve">областной </w:t>
      </w:r>
      <w:r w:rsidR="00787A59" w:rsidRPr="001B3306">
        <w:rPr>
          <w:sz w:val="28"/>
          <w:szCs w:val="28"/>
        </w:rPr>
        <w:t>бюджет, риск снижения ликвидности рынка</w:t>
      </w:r>
      <w:r w:rsidR="00232EC0">
        <w:rPr>
          <w:sz w:val="28"/>
          <w:szCs w:val="28"/>
        </w:rPr>
        <w:t xml:space="preserve"> финансовых услуг</w:t>
      </w:r>
      <w:r w:rsidR="00787A59" w:rsidRPr="001B3306">
        <w:rPr>
          <w:sz w:val="28"/>
          <w:szCs w:val="28"/>
        </w:rPr>
        <w:t xml:space="preserve"> и другие</w:t>
      </w:r>
      <w:r w:rsidR="00440F50">
        <w:rPr>
          <w:sz w:val="28"/>
          <w:szCs w:val="28"/>
        </w:rPr>
        <w:t xml:space="preserve"> риски, которые прямо или косвенно могут повлиять на </w:t>
      </w:r>
      <w:r w:rsidR="00F52F57">
        <w:rPr>
          <w:sz w:val="28"/>
          <w:szCs w:val="28"/>
        </w:rPr>
        <w:t>х</w:t>
      </w:r>
      <w:r w:rsidR="00F52F57" w:rsidRPr="00F52F57">
        <w:rPr>
          <w:sz w:val="28"/>
          <w:szCs w:val="28"/>
        </w:rPr>
        <w:t>арактер и направления долговой политики</w:t>
      </w:r>
      <w:r w:rsidR="00787A59" w:rsidRPr="001B3306">
        <w:rPr>
          <w:sz w:val="28"/>
          <w:szCs w:val="28"/>
        </w:rPr>
        <w:t>.</w:t>
      </w:r>
      <w:r w:rsidR="00B72BB8">
        <w:rPr>
          <w:b/>
          <w:sz w:val="28"/>
          <w:szCs w:val="28"/>
        </w:rPr>
        <w:t xml:space="preserve"> </w:t>
      </w:r>
    </w:p>
    <w:sectPr w:rsidR="00940DAD" w:rsidSect="00ED437F">
      <w:headerReference w:type="default" r:id="rId9"/>
      <w:footerReference w:type="first" r:id="rId10"/>
      <w:pgSz w:w="11906" w:h="16838"/>
      <w:pgMar w:top="1134" w:right="1276" w:bottom="1134" w:left="1559" w:header="720" w:footer="40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4D2" w:rsidRDefault="007344D2">
      <w:r>
        <w:separator/>
      </w:r>
    </w:p>
  </w:endnote>
  <w:endnote w:type="continuationSeparator" w:id="0">
    <w:p w:rsidR="007344D2" w:rsidRDefault="0073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37F" w:rsidRPr="00ED437F" w:rsidRDefault="00ED437F">
    <w:pPr>
      <w:pStyle w:val="a6"/>
      <w:rPr>
        <w:sz w:val="16"/>
        <w:szCs w:val="16"/>
      </w:rPr>
    </w:pPr>
  </w:p>
  <w:p w:rsidR="00ED437F" w:rsidRDefault="00ED43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4D2" w:rsidRDefault="007344D2">
      <w:r>
        <w:separator/>
      </w:r>
    </w:p>
  </w:footnote>
  <w:footnote w:type="continuationSeparator" w:id="0">
    <w:p w:rsidR="007344D2" w:rsidRDefault="00734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9017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50FD6" w:rsidRPr="00950FD6" w:rsidRDefault="009D6163">
        <w:pPr>
          <w:pStyle w:val="a8"/>
          <w:jc w:val="right"/>
          <w:rPr>
            <w:sz w:val="28"/>
            <w:szCs w:val="28"/>
          </w:rPr>
        </w:pPr>
        <w:r w:rsidRPr="00950FD6">
          <w:rPr>
            <w:sz w:val="28"/>
            <w:szCs w:val="28"/>
          </w:rPr>
          <w:fldChar w:fldCharType="begin"/>
        </w:r>
        <w:r w:rsidR="00950FD6" w:rsidRPr="00950FD6">
          <w:rPr>
            <w:sz w:val="28"/>
            <w:szCs w:val="28"/>
          </w:rPr>
          <w:instrText>PAGE   \* MERGEFORMAT</w:instrText>
        </w:r>
        <w:r w:rsidRPr="00950FD6">
          <w:rPr>
            <w:sz w:val="28"/>
            <w:szCs w:val="28"/>
          </w:rPr>
          <w:fldChar w:fldCharType="separate"/>
        </w:r>
        <w:r w:rsidR="00526C00">
          <w:rPr>
            <w:noProof/>
            <w:sz w:val="28"/>
            <w:szCs w:val="28"/>
          </w:rPr>
          <w:t>12</w:t>
        </w:r>
        <w:r w:rsidRPr="00950FD6">
          <w:rPr>
            <w:sz w:val="28"/>
            <w:szCs w:val="28"/>
          </w:rPr>
          <w:fldChar w:fldCharType="end"/>
        </w:r>
      </w:p>
    </w:sdtContent>
  </w:sdt>
  <w:p w:rsidR="00D26795" w:rsidRDefault="00D267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0ADF"/>
    <w:multiLevelType w:val="hybridMultilevel"/>
    <w:tmpl w:val="6B9EE7BA"/>
    <w:lvl w:ilvl="0" w:tplc="430EE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E4319"/>
    <w:multiLevelType w:val="hybridMultilevel"/>
    <w:tmpl w:val="711A7B50"/>
    <w:lvl w:ilvl="0" w:tplc="91B08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24AE"/>
    <w:rsid w:val="00002B0B"/>
    <w:rsid w:val="000037BA"/>
    <w:rsid w:val="000039A3"/>
    <w:rsid w:val="000047FB"/>
    <w:rsid w:val="00006557"/>
    <w:rsid w:val="00007ABA"/>
    <w:rsid w:val="00010714"/>
    <w:rsid w:val="00010AAC"/>
    <w:rsid w:val="00010B9D"/>
    <w:rsid w:val="00012E9F"/>
    <w:rsid w:val="000132DA"/>
    <w:rsid w:val="00013AC0"/>
    <w:rsid w:val="00013EFA"/>
    <w:rsid w:val="00013F4C"/>
    <w:rsid w:val="000149B6"/>
    <w:rsid w:val="0001595F"/>
    <w:rsid w:val="0001620D"/>
    <w:rsid w:val="000170ED"/>
    <w:rsid w:val="0001760E"/>
    <w:rsid w:val="000178EE"/>
    <w:rsid w:val="00017CD1"/>
    <w:rsid w:val="0002048E"/>
    <w:rsid w:val="0002184D"/>
    <w:rsid w:val="00021857"/>
    <w:rsid w:val="00024DE0"/>
    <w:rsid w:val="00025085"/>
    <w:rsid w:val="0002616A"/>
    <w:rsid w:val="00031A61"/>
    <w:rsid w:val="00035F24"/>
    <w:rsid w:val="00042558"/>
    <w:rsid w:val="00043ED0"/>
    <w:rsid w:val="0004564F"/>
    <w:rsid w:val="00045731"/>
    <w:rsid w:val="00047683"/>
    <w:rsid w:val="000518F7"/>
    <w:rsid w:val="000523CA"/>
    <w:rsid w:val="0005261F"/>
    <w:rsid w:val="00052966"/>
    <w:rsid w:val="000537B0"/>
    <w:rsid w:val="000539EF"/>
    <w:rsid w:val="00054B0E"/>
    <w:rsid w:val="00054DF7"/>
    <w:rsid w:val="00054F0B"/>
    <w:rsid w:val="00061C64"/>
    <w:rsid w:val="00061FC7"/>
    <w:rsid w:val="0006356B"/>
    <w:rsid w:val="00063700"/>
    <w:rsid w:val="00064579"/>
    <w:rsid w:val="00065BF9"/>
    <w:rsid w:val="00071E76"/>
    <w:rsid w:val="0007378B"/>
    <w:rsid w:val="00074007"/>
    <w:rsid w:val="000742E7"/>
    <w:rsid w:val="00074FC5"/>
    <w:rsid w:val="0007570A"/>
    <w:rsid w:val="000762F4"/>
    <w:rsid w:val="000770E1"/>
    <w:rsid w:val="000832BD"/>
    <w:rsid w:val="000906D7"/>
    <w:rsid w:val="00091A22"/>
    <w:rsid w:val="0009441A"/>
    <w:rsid w:val="00094B26"/>
    <w:rsid w:val="0009629F"/>
    <w:rsid w:val="000A28B7"/>
    <w:rsid w:val="000A3920"/>
    <w:rsid w:val="000A3E83"/>
    <w:rsid w:val="000A79AA"/>
    <w:rsid w:val="000A7C2D"/>
    <w:rsid w:val="000A7CD1"/>
    <w:rsid w:val="000A7E1C"/>
    <w:rsid w:val="000B02BF"/>
    <w:rsid w:val="000B2E02"/>
    <w:rsid w:val="000B4426"/>
    <w:rsid w:val="000B4E06"/>
    <w:rsid w:val="000B54AC"/>
    <w:rsid w:val="000B5B80"/>
    <w:rsid w:val="000B6167"/>
    <w:rsid w:val="000B63BE"/>
    <w:rsid w:val="000C00D4"/>
    <w:rsid w:val="000C2994"/>
    <w:rsid w:val="000C2D5E"/>
    <w:rsid w:val="000C30F5"/>
    <w:rsid w:val="000C4937"/>
    <w:rsid w:val="000C6D26"/>
    <w:rsid w:val="000D0323"/>
    <w:rsid w:val="000D0648"/>
    <w:rsid w:val="000D0C34"/>
    <w:rsid w:val="000D2C88"/>
    <w:rsid w:val="000D2E19"/>
    <w:rsid w:val="000D45FB"/>
    <w:rsid w:val="000D512B"/>
    <w:rsid w:val="000D68E1"/>
    <w:rsid w:val="000D6D69"/>
    <w:rsid w:val="000E0527"/>
    <w:rsid w:val="000E2C9B"/>
    <w:rsid w:val="000E625A"/>
    <w:rsid w:val="000F2F45"/>
    <w:rsid w:val="000F461C"/>
    <w:rsid w:val="000F6136"/>
    <w:rsid w:val="000F670B"/>
    <w:rsid w:val="000F6FD8"/>
    <w:rsid w:val="000F752D"/>
    <w:rsid w:val="00105B13"/>
    <w:rsid w:val="0010626E"/>
    <w:rsid w:val="001074B9"/>
    <w:rsid w:val="00113F85"/>
    <w:rsid w:val="00114A00"/>
    <w:rsid w:val="00114B52"/>
    <w:rsid w:val="00114DCD"/>
    <w:rsid w:val="00116F01"/>
    <w:rsid w:val="00121D38"/>
    <w:rsid w:val="00122CDC"/>
    <w:rsid w:val="001230E8"/>
    <w:rsid w:val="001242CF"/>
    <w:rsid w:val="001243A7"/>
    <w:rsid w:val="00126673"/>
    <w:rsid w:val="0013171B"/>
    <w:rsid w:val="00132A3A"/>
    <w:rsid w:val="00132D0B"/>
    <w:rsid w:val="00135016"/>
    <w:rsid w:val="001356D8"/>
    <w:rsid w:val="00137656"/>
    <w:rsid w:val="0014050F"/>
    <w:rsid w:val="00140C0C"/>
    <w:rsid w:val="001501BE"/>
    <w:rsid w:val="00150359"/>
    <w:rsid w:val="00152A0C"/>
    <w:rsid w:val="00154017"/>
    <w:rsid w:val="001559C8"/>
    <w:rsid w:val="001606CE"/>
    <w:rsid w:val="00160B0A"/>
    <w:rsid w:val="00160E04"/>
    <w:rsid w:val="0016540E"/>
    <w:rsid w:val="00166B18"/>
    <w:rsid w:val="00167685"/>
    <w:rsid w:val="0017059D"/>
    <w:rsid w:val="00170898"/>
    <w:rsid w:val="001708E5"/>
    <w:rsid w:val="00170F1F"/>
    <w:rsid w:val="0017123E"/>
    <w:rsid w:val="00171846"/>
    <w:rsid w:val="0017201C"/>
    <w:rsid w:val="00172EC1"/>
    <w:rsid w:val="00174AA9"/>
    <w:rsid w:val="001770DE"/>
    <w:rsid w:val="0017732A"/>
    <w:rsid w:val="00183D27"/>
    <w:rsid w:val="00186354"/>
    <w:rsid w:val="00191FAF"/>
    <w:rsid w:val="00193F0B"/>
    <w:rsid w:val="00194CF0"/>
    <w:rsid w:val="00195138"/>
    <w:rsid w:val="00195636"/>
    <w:rsid w:val="001A1BD1"/>
    <w:rsid w:val="001A23D8"/>
    <w:rsid w:val="001A30DD"/>
    <w:rsid w:val="001A4610"/>
    <w:rsid w:val="001A48AB"/>
    <w:rsid w:val="001A6534"/>
    <w:rsid w:val="001A6E94"/>
    <w:rsid w:val="001B045D"/>
    <w:rsid w:val="001B053B"/>
    <w:rsid w:val="001B0806"/>
    <w:rsid w:val="001B1D08"/>
    <w:rsid w:val="001B25BE"/>
    <w:rsid w:val="001B3306"/>
    <w:rsid w:val="001B36F6"/>
    <w:rsid w:val="001B4B8C"/>
    <w:rsid w:val="001B5332"/>
    <w:rsid w:val="001B6FDE"/>
    <w:rsid w:val="001B76B7"/>
    <w:rsid w:val="001C0258"/>
    <w:rsid w:val="001C140F"/>
    <w:rsid w:val="001C1D2C"/>
    <w:rsid w:val="001C26AA"/>
    <w:rsid w:val="001C3854"/>
    <w:rsid w:val="001C3BD2"/>
    <w:rsid w:val="001C4CC7"/>
    <w:rsid w:val="001D0C89"/>
    <w:rsid w:val="001D0DC1"/>
    <w:rsid w:val="001D2A89"/>
    <w:rsid w:val="001D4381"/>
    <w:rsid w:val="001D5871"/>
    <w:rsid w:val="001D63E4"/>
    <w:rsid w:val="001E0A2C"/>
    <w:rsid w:val="001E4AF2"/>
    <w:rsid w:val="001E544C"/>
    <w:rsid w:val="001E5B5C"/>
    <w:rsid w:val="001E5DC4"/>
    <w:rsid w:val="001F0E44"/>
    <w:rsid w:val="001F1FA0"/>
    <w:rsid w:val="001F6A80"/>
    <w:rsid w:val="001F6D3D"/>
    <w:rsid w:val="001F6DA9"/>
    <w:rsid w:val="0020108C"/>
    <w:rsid w:val="00201A80"/>
    <w:rsid w:val="002029D1"/>
    <w:rsid w:val="002033EF"/>
    <w:rsid w:val="002035F0"/>
    <w:rsid w:val="00203E41"/>
    <w:rsid w:val="00204396"/>
    <w:rsid w:val="002136D5"/>
    <w:rsid w:val="00213FBF"/>
    <w:rsid w:val="00216C58"/>
    <w:rsid w:val="0021740D"/>
    <w:rsid w:val="002211C1"/>
    <w:rsid w:val="00222398"/>
    <w:rsid w:val="00223DCA"/>
    <w:rsid w:val="00224781"/>
    <w:rsid w:val="0022576D"/>
    <w:rsid w:val="00225881"/>
    <w:rsid w:val="0022621B"/>
    <w:rsid w:val="00232EC0"/>
    <w:rsid w:val="00233517"/>
    <w:rsid w:val="002349D4"/>
    <w:rsid w:val="00236BAA"/>
    <w:rsid w:val="002374A1"/>
    <w:rsid w:val="002414FB"/>
    <w:rsid w:val="00242D66"/>
    <w:rsid w:val="00250E4C"/>
    <w:rsid w:val="00253B93"/>
    <w:rsid w:val="002573F9"/>
    <w:rsid w:val="002579A3"/>
    <w:rsid w:val="00257AEA"/>
    <w:rsid w:val="0026021E"/>
    <w:rsid w:val="00260E6A"/>
    <w:rsid w:val="002618EB"/>
    <w:rsid w:val="00262941"/>
    <w:rsid w:val="00262BE8"/>
    <w:rsid w:val="00263C98"/>
    <w:rsid w:val="002659CA"/>
    <w:rsid w:val="00266A22"/>
    <w:rsid w:val="002671B5"/>
    <w:rsid w:val="00271011"/>
    <w:rsid w:val="0027367A"/>
    <w:rsid w:val="00273A96"/>
    <w:rsid w:val="0027407E"/>
    <w:rsid w:val="00274465"/>
    <w:rsid w:val="00274BFF"/>
    <w:rsid w:val="00274DE8"/>
    <w:rsid w:val="00275791"/>
    <w:rsid w:val="00275C63"/>
    <w:rsid w:val="00276208"/>
    <w:rsid w:val="00276EEE"/>
    <w:rsid w:val="00280DDB"/>
    <w:rsid w:val="00281991"/>
    <w:rsid w:val="00282606"/>
    <w:rsid w:val="00282798"/>
    <w:rsid w:val="0028281F"/>
    <w:rsid w:val="00286051"/>
    <w:rsid w:val="00287EB0"/>
    <w:rsid w:val="0029170F"/>
    <w:rsid w:val="00295940"/>
    <w:rsid w:val="0029736B"/>
    <w:rsid w:val="002A33B1"/>
    <w:rsid w:val="002A3A6F"/>
    <w:rsid w:val="002A4494"/>
    <w:rsid w:val="002A6492"/>
    <w:rsid w:val="002B12E6"/>
    <w:rsid w:val="002B1319"/>
    <w:rsid w:val="002B2518"/>
    <w:rsid w:val="002B4990"/>
    <w:rsid w:val="002B537C"/>
    <w:rsid w:val="002C0640"/>
    <w:rsid w:val="002C092E"/>
    <w:rsid w:val="002C0CD7"/>
    <w:rsid w:val="002C70A1"/>
    <w:rsid w:val="002D11C0"/>
    <w:rsid w:val="002D5393"/>
    <w:rsid w:val="002D539F"/>
    <w:rsid w:val="002D7599"/>
    <w:rsid w:val="002D7860"/>
    <w:rsid w:val="002D7958"/>
    <w:rsid w:val="002E0E1F"/>
    <w:rsid w:val="002E4E29"/>
    <w:rsid w:val="002E5B8E"/>
    <w:rsid w:val="002E6D2E"/>
    <w:rsid w:val="002E6F52"/>
    <w:rsid w:val="002E6FA3"/>
    <w:rsid w:val="002E7397"/>
    <w:rsid w:val="002F0086"/>
    <w:rsid w:val="002F0A4C"/>
    <w:rsid w:val="002F2341"/>
    <w:rsid w:val="002F343D"/>
    <w:rsid w:val="002F375D"/>
    <w:rsid w:val="002F7348"/>
    <w:rsid w:val="003007CE"/>
    <w:rsid w:val="00302208"/>
    <w:rsid w:val="003036C6"/>
    <w:rsid w:val="00303BD1"/>
    <w:rsid w:val="0030506C"/>
    <w:rsid w:val="003068E8"/>
    <w:rsid w:val="00307304"/>
    <w:rsid w:val="003108EC"/>
    <w:rsid w:val="00312AD2"/>
    <w:rsid w:val="003137D0"/>
    <w:rsid w:val="003143BD"/>
    <w:rsid w:val="00315514"/>
    <w:rsid w:val="00315764"/>
    <w:rsid w:val="00315E5D"/>
    <w:rsid w:val="00316827"/>
    <w:rsid w:val="0031737B"/>
    <w:rsid w:val="00317855"/>
    <w:rsid w:val="003200E2"/>
    <w:rsid w:val="003204C4"/>
    <w:rsid w:val="0032104F"/>
    <w:rsid w:val="00321567"/>
    <w:rsid w:val="00322805"/>
    <w:rsid w:val="0032353C"/>
    <w:rsid w:val="00323824"/>
    <w:rsid w:val="00323C53"/>
    <w:rsid w:val="00327100"/>
    <w:rsid w:val="00331D94"/>
    <w:rsid w:val="00332AAC"/>
    <w:rsid w:val="00332FE7"/>
    <w:rsid w:val="00333DB8"/>
    <w:rsid w:val="00334692"/>
    <w:rsid w:val="00335260"/>
    <w:rsid w:val="0033795E"/>
    <w:rsid w:val="003435B2"/>
    <w:rsid w:val="00343D07"/>
    <w:rsid w:val="003459F5"/>
    <w:rsid w:val="00351772"/>
    <w:rsid w:val="00352E6A"/>
    <w:rsid w:val="0035450A"/>
    <w:rsid w:val="003545C6"/>
    <w:rsid w:val="003546D4"/>
    <w:rsid w:val="003573EC"/>
    <w:rsid w:val="00357C53"/>
    <w:rsid w:val="00357F3A"/>
    <w:rsid w:val="00360070"/>
    <w:rsid w:val="00361B59"/>
    <w:rsid w:val="00364895"/>
    <w:rsid w:val="003657BB"/>
    <w:rsid w:val="003663E5"/>
    <w:rsid w:val="0036693A"/>
    <w:rsid w:val="00367F0E"/>
    <w:rsid w:val="003702C0"/>
    <w:rsid w:val="00370A52"/>
    <w:rsid w:val="0037175E"/>
    <w:rsid w:val="00372C24"/>
    <w:rsid w:val="00376424"/>
    <w:rsid w:val="0038172D"/>
    <w:rsid w:val="003846B6"/>
    <w:rsid w:val="00385A32"/>
    <w:rsid w:val="0039184D"/>
    <w:rsid w:val="00392974"/>
    <w:rsid w:val="00395B10"/>
    <w:rsid w:val="00396B07"/>
    <w:rsid w:val="003A0196"/>
    <w:rsid w:val="003A0863"/>
    <w:rsid w:val="003A3F06"/>
    <w:rsid w:val="003A414A"/>
    <w:rsid w:val="003A41A5"/>
    <w:rsid w:val="003A6B27"/>
    <w:rsid w:val="003A6DE7"/>
    <w:rsid w:val="003A701D"/>
    <w:rsid w:val="003B2B42"/>
    <w:rsid w:val="003B32C4"/>
    <w:rsid w:val="003B3C7E"/>
    <w:rsid w:val="003C17DA"/>
    <w:rsid w:val="003C2653"/>
    <w:rsid w:val="003C4BE6"/>
    <w:rsid w:val="003C60E9"/>
    <w:rsid w:val="003D09B4"/>
    <w:rsid w:val="003D0EE3"/>
    <w:rsid w:val="003D24BF"/>
    <w:rsid w:val="003D2C50"/>
    <w:rsid w:val="003D455C"/>
    <w:rsid w:val="003D4896"/>
    <w:rsid w:val="003D70EC"/>
    <w:rsid w:val="003D7689"/>
    <w:rsid w:val="003E2AA7"/>
    <w:rsid w:val="003E4047"/>
    <w:rsid w:val="003E5EF7"/>
    <w:rsid w:val="003E6925"/>
    <w:rsid w:val="003F088F"/>
    <w:rsid w:val="003F0B0F"/>
    <w:rsid w:val="003F1162"/>
    <w:rsid w:val="003F3A36"/>
    <w:rsid w:val="003F561D"/>
    <w:rsid w:val="003F75B2"/>
    <w:rsid w:val="003F7CBA"/>
    <w:rsid w:val="004017F7"/>
    <w:rsid w:val="00405FDD"/>
    <w:rsid w:val="00407548"/>
    <w:rsid w:val="004114EE"/>
    <w:rsid w:val="004116F7"/>
    <w:rsid w:val="0041235F"/>
    <w:rsid w:val="0041574C"/>
    <w:rsid w:val="00417282"/>
    <w:rsid w:val="004203B3"/>
    <w:rsid w:val="004246C0"/>
    <w:rsid w:val="00426819"/>
    <w:rsid w:val="00433AD5"/>
    <w:rsid w:val="00434DFC"/>
    <w:rsid w:val="00435C7B"/>
    <w:rsid w:val="004379E4"/>
    <w:rsid w:val="004408BE"/>
    <w:rsid w:val="00440ABB"/>
    <w:rsid w:val="00440F50"/>
    <w:rsid w:val="00443061"/>
    <w:rsid w:val="004446AE"/>
    <w:rsid w:val="00447252"/>
    <w:rsid w:val="0044770C"/>
    <w:rsid w:val="00447F9B"/>
    <w:rsid w:val="004507C9"/>
    <w:rsid w:val="00451F3A"/>
    <w:rsid w:val="00455E6E"/>
    <w:rsid w:val="004560B4"/>
    <w:rsid w:val="00460626"/>
    <w:rsid w:val="00461C5E"/>
    <w:rsid w:val="00462824"/>
    <w:rsid w:val="00463175"/>
    <w:rsid w:val="00463819"/>
    <w:rsid w:val="0046423C"/>
    <w:rsid w:val="0046453F"/>
    <w:rsid w:val="0046532F"/>
    <w:rsid w:val="00465C12"/>
    <w:rsid w:val="00466358"/>
    <w:rsid w:val="004670D5"/>
    <w:rsid w:val="004714AC"/>
    <w:rsid w:val="00481BCD"/>
    <w:rsid w:val="00482C7A"/>
    <w:rsid w:val="004844DC"/>
    <w:rsid w:val="00493635"/>
    <w:rsid w:val="00493D52"/>
    <w:rsid w:val="004A0051"/>
    <w:rsid w:val="004A03A0"/>
    <w:rsid w:val="004A370D"/>
    <w:rsid w:val="004A3BDA"/>
    <w:rsid w:val="004A3DA7"/>
    <w:rsid w:val="004A6F1E"/>
    <w:rsid w:val="004A7615"/>
    <w:rsid w:val="004A7CC0"/>
    <w:rsid w:val="004B1CB8"/>
    <w:rsid w:val="004B2BA6"/>
    <w:rsid w:val="004B6A48"/>
    <w:rsid w:val="004C04C6"/>
    <w:rsid w:val="004C1AC3"/>
    <w:rsid w:val="004C1DB8"/>
    <w:rsid w:val="004C284B"/>
    <w:rsid w:val="004C2FD8"/>
    <w:rsid w:val="004C3DB0"/>
    <w:rsid w:val="004C5183"/>
    <w:rsid w:val="004C6EE8"/>
    <w:rsid w:val="004C79FD"/>
    <w:rsid w:val="004D0198"/>
    <w:rsid w:val="004D0763"/>
    <w:rsid w:val="004D095D"/>
    <w:rsid w:val="004D4298"/>
    <w:rsid w:val="004D5BCC"/>
    <w:rsid w:val="004E0E91"/>
    <w:rsid w:val="004E2FC8"/>
    <w:rsid w:val="004F159F"/>
    <w:rsid w:val="004F1FAB"/>
    <w:rsid w:val="004F206C"/>
    <w:rsid w:val="004F3DD9"/>
    <w:rsid w:val="004F3F0F"/>
    <w:rsid w:val="004F4EDC"/>
    <w:rsid w:val="00502541"/>
    <w:rsid w:val="005030A9"/>
    <w:rsid w:val="00503851"/>
    <w:rsid w:val="0050631E"/>
    <w:rsid w:val="00507703"/>
    <w:rsid w:val="005104E4"/>
    <w:rsid w:val="00510902"/>
    <w:rsid w:val="00512D69"/>
    <w:rsid w:val="00513DB0"/>
    <w:rsid w:val="00516202"/>
    <w:rsid w:val="005211CE"/>
    <w:rsid w:val="0052173B"/>
    <w:rsid w:val="00522E68"/>
    <w:rsid w:val="00526C00"/>
    <w:rsid w:val="00527F3C"/>
    <w:rsid w:val="00531B05"/>
    <w:rsid w:val="0053449C"/>
    <w:rsid w:val="00537698"/>
    <w:rsid w:val="00537C78"/>
    <w:rsid w:val="00540E31"/>
    <w:rsid w:val="00540F17"/>
    <w:rsid w:val="005420D4"/>
    <w:rsid w:val="005438A9"/>
    <w:rsid w:val="005448C3"/>
    <w:rsid w:val="005449EB"/>
    <w:rsid w:val="005454FF"/>
    <w:rsid w:val="005471F2"/>
    <w:rsid w:val="0054793C"/>
    <w:rsid w:val="0055183F"/>
    <w:rsid w:val="0055202A"/>
    <w:rsid w:val="0055407B"/>
    <w:rsid w:val="005543C7"/>
    <w:rsid w:val="00554448"/>
    <w:rsid w:val="00554B67"/>
    <w:rsid w:val="00555653"/>
    <w:rsid w:val="00555AA8"/>
    <w:rsid w:val="00557485"/>
    <w:rsid w:val="0055765C"/>
    <w:rsid w:val="00557816"/>
    <w:rsid w:val="005624E0"/>
    <w:rsid w:val="005636DA"/>
    <w:rsid w:val="00563A9E"/>
    <w:rsid w:val="0056515F"/>
    <w:rsid w:val="00565FC1"/>
    <w:rsid w:val="0056663E"/>
    <w:rsid w:val="00566DC0"/>
    <w:rsid w:val="005676D2"/>
    <w:rsid w:val="00570449"/>
    <w:rsid w:val="00572776"/>
    <w:rsid w:val="00572EC4"/>
    <w:rsid w:val="005735A3"/>
    <w:rsid w:val="00574362"/>
    <w:rsid w:val="00574A38"/>
    <w:rsid w:val="00575798"/>
    <w:rsid w:val="00577615"/>
    <w:rsid w:val="00580F47"/>
    <w:rsid w:val="00581336"/>
    <w:rsid w:val="00581E6F"/>
    <w:rsid w:val="00582B39"/>
    <w:rsid w:val="0058378F"/>
    <w:rsid w:val="00584AA6"/>
    <w:rsid w:val="00584D65"/>
    <w:rsid w:val="00590619"/>
    <w:rsid w:val="00593442"/>
    <w:rsid w:val="005935CC"/>
    <w:rsid w:val="00594B62"/>
    <w:rsid w:val="00595E64"/>
    <w:rsid w:val="00597EC0"/>
    <w:rsid w:val="005A2F41"/>
    <w:rsid w:val="005B077A"/>
    <w:rsid w:val="005B147F"/>
    <w:rsid w:val="005B17AB"/>
    <w:rsid w:val="005B254C"/>
    <w:rsid w:val="005B289A"/>
    <w:rsid w:val="005B3188"/>
    <w:rsid w:val="005B44EB"/>
    <w:rsid w:val="005B4883"/>
    <w:rsid w:val="005B5123"/>
    <w:rsid w:val="005B6B0F"/>
    <w:rsid w:val="005B6E8C"/>
    <w:rsid w:val="005B7FEF"/>
    <w:rsid w:val="005C03C0"/>
    <w:rsid w:val="005C06E4"/>
    <w:rsid w:val="005C083E"/>
    <w:rsid w:val="005C0F2A"/>
    <w:rsid w:val="005C410F"/>
    <w:rsid w:val="005C61DA"/>
    <w:rsid w:val="005C672A"/>
    <w:rsid w:val="005C6DA7"/>
    <w:rsid w:val="005D0F4E"/>
    <w:rsid w:val="005D163C"/>
    <w:rsid w:val="005D2591"/>
    <w:rsid w:val="005D2746"/>
    <w:rsid w:val="005D3849"/>
    <w:rsid w:val="005D49CB"/>
    <w:rsid w:val="005E0DFB"/>
    <w:rsid w:val="005E0EAB"/>
    <w:rsid w:val="005E1E0E"/>
    <w:rsid w:val="005E2151"/>
    <w:rsid w:val="005E2756"/>
    <w:rsid w:val="005E57CB"/>
    <w:rsid w:val="005E5BCE"/>
    <w:rsid w:val="005E7B90"/>
    <w:rsid w:val="005F1067"/>
    <w:rsid w:val="005F2098"/>
    <w:rsid w:val="005F2BA2"/>
    <w:rsid w:val="005F39AB"/>
    <w:rsid w:val="005F3F96"/>
    <w:rsid w:val="005F492F"/>
    <w:rsid w:val="005F52BD"/>
    <w:rsid w:val="005F538F"/>
    <w:rsid w:val="005F5A65"/>
    <w:rsid w:val="006003C6"/>
    <w:rsid w:val="00600F02"/>
    <w:rsid w:val="0060503C"/>
    <w:rsid w:val="006072CA"/>
    <w:rsid w:val="00611897"/>
    <w:rsid w:val="00616AE9"/>
    <w:rsid w:val="00617E84"/>
    <w:rsid w:val="00621DDD"/>
    <w:rsid w:val="006220AE"/>
    <w:rsid w:val="00624F22"/>
    <w:rsid w:val="00627402"/>
    <w:rsid w:val="006319AC"/>
    <w:rsid w:val="00635071"/>
    <w:rsid w:val="006365F7"/>
    <w:rsid w:val="00637495"/>
    <w:rsid w:val="00640741"/>
    <w:rsid w:val="006407A0"/>
    <w:rsid w:val="00640903"/>
    <w:rsid w:val="00641978"/>
    <w:rsid w:val="00642050"/>
    <w:rsid w:val="00642631"/>
    <w:rsid w:val="006446C3"/>
    <w:rsid w:val="00644B33"/>
    <w:rsid w:val="00646D9F"/>
    <w:rsid w:val="00647608"/>
    <w:rsid w:val="0064776C"/>
    <w:rsid w:val="006505F7"/>
    <w:rsid w:val="00650F22"/>
    <w:rsid w:val="00652287"/>
    <w:rsid w:val="00652627"/>
    <w:rsid w:val="00652CF1"/>
    <w:rsid w:val="00652EA4"/>
    <w:rsid w:val="00653506"/>
    <w:rsid w:val="0065430D"/>
    <w:rsid w:val="006559AF"/>
    <w:rsid w:val="0065721D"/>
    <w:rsid w:val="006631B4"/>
    <w:rsid w:val="00663C2E"/>
    <w:rsid w:val="006654EC"/>
    <w:rsid w:val="006656F5"/>
    <w:rsid w:val="00667EF3"/>
    <w:rsid w:val="00670656"/>
    <w:rsid w:val="00672A61"/>
    <w:rsid w:val="00672E35"/>
    <w:rsid w:val="006753E3"/>
    <w:rsid w:val="0068155F"/>
    <w:rsid w:val="00681E3D"/>
    <w:rsid w:val="006822F5"/>
    <w:rsid w:val="00682909"/>
    <w:rsid w:val="006830CC"/>
    <w:rsid w:val="006850B1"/>
    <w:rsid w:val="00685276"/>
    <w:rsid w:val="00687C46"/>
    <w:rsid w:val="00692C40"/>
    <w:rsid w:val="00692DC0"/>
    <w:rsid w:val="00693AF9"/>
    <w:rsid w:val="00693B3A"/>
    <w:rsid w:val="0069470C"/>
    <w:rsid w:val="00696177"/>
    <w:rsid w:val="006A0995"/>
    <w:rsid w:val="006A0DB2"/>
    <w:rsid w:val="006A1A3A"/>
    <w:rsid w:val="006A36A0"/>
    <w:rsid w:val="006A3AB5"/>
    <w:rsid w:val="006A612A"/>
    <w:rsid w:val="006B00C7"/>
    <w:rsid w:val="006B3E1F"/>
    <w:rsid w:val="006B5144"/>
    <w:rsid w:val="006B6071"/>
    <w:rsid w:val="006C18B2"/>
    <w:rsid w:val="006C5C6B"/>
    <w:rsid w:val="006C6A24"/>
    <w:rsid w:val="006D0A00"/>
    <w:rsid w:val="006D4722"/>
    <w:rsid w:val="006D550B"/>
    <w:rsid w:val="006D72C0"/>
    <w:rsid w:val="006E08B8"/>
    <w:rsid w:val="006E2852"/>
    <w:rsid w:val="006E2EA2"/>
    <w:rsid w:val="006E3965"/>
    <w:rsid w:val="006E4C0B"/>
    <w:rsid w:val="006E5017"/>
    <w:rsid w:val="006E729A"/>
    <w:rsid w:val="006E73D8"/>
    <w:rsid w:val="006E7E61"/>
    <w:rsid w:val="006F3E19"/>
    <w:rsid w:val="006F5701"/>
    <w:rsid w:val="006F5933"/>
    <w:rsid w:val="006F5DC2"/>
    <w:rsid w:val="006F64A5"/>
    <w:rsid w:val="007005E8"/>
    <w:rsid w:val="00700C90"/>
    <w:rsid w:val="007020A5"/>
    <w:rsid w:val="00702CB6"/>
    <w:rsid w:val="00703904"/>
    <w:rsid w:val="007066C1"/>
    <w:rsid w:val="0070693A"/>
    <w:rsid w:val="00706EE8"/>
    <w:rsid w:val="00710709"/>
    <w:rsid w:val="00711E9D"/>
    <w:rsid w:val="0071568F"/>
    <w:rsid w:val="0071621B"/>
    <w:rsid w:val="00721942"/>
    <w:rsid w:val="00722E26"/>
    <w:rsid w:val="007249EE"/>
    <w:rsid w:val="00724DC7"/>
    <w:rsid w:val="00724FC4"/>
    <w:rsid w:val="00725DC7"/>
    <w:rsid w:val="00726615"/>
    <w:rsid w:val="00726FEF"/>
    <w:rsid w:val="00727953"/>
    <w:rsid w:val="00730732"/>
    <w:rsid w:val="0073126B"/>
    <w:rsid w:val="007313BE"/>
    <w:rsid w:val="00731978"/>
    <w:rsid w:val="007344D2"/>
    <w:rsid w:val="0073465C"/>
    <w:rsid w:val="00740BEB"/>
    <w:rsid w:val="00741463"/>
    <w:rsid w:val="007461F1"/>
    <w:rsid w:val="007508F8"/>
    <w:rsid w:val="00751B18"/>
    <w:rsid w:val="00752BE3"/>
    <w:rsid w:val="00755090"/>
    <w:rsid w:val="0075561B"/>
    <w:rsid w:val="0075561D"/>
    <w:rsid w:val="00756460"/>
    <w:rsid w:val="00756B22"/>
    <w:rsid w:val="00756CCC"/>
    <w:rsid w:val="007575A6"/>
    <w:rsid w:val="007611D5"/>
    <w:rsid w:val="007611E5"/>
    <w:rsid w:val="007614AA"/>
    <w:rsid w:val="00761DD3"/>
    <w:rsid w:val="00762D05"/>
    <w:rsid w:val="00763DDF"/>
    <w:rsid w:val="00764103"/>
    <w:rsid w:val="0076511B"/>
    <w:rsid w:val="007701DC"/>
    <w:rsid w:val="00770D0C"/>
    <w:rsid w:val="00770EF7"/>
    <w:rsid w:val="00773B84"/>
    <w:rsid w:val="007742EC"/>
    <w:rsid w:val="007746EB"/>
    <w:rsid w:val="00775325"/>
    <w:rsid w:val="00775FBB"/>
    <w:rsid w:val="00775FD6"/>
    <w:rsid w:val="00777C32"/>
    <w:rsid w:val="00780DB2"/>
    <w:rsid w:val="0078384D"/>
    <w:rsid w:val="00783F85"/>
    <w:rsid w:val="007851E4"/>
    <w:rsid w:val="00786A7D"/>
    <w:rsid w:val="00786E50"/>
    <w:rsid w:val="00787A59"/>
    <w:rsid w:val="00787C48"/>
    <w:rsid w:val="0079092B"/>
    <w:rsid w:val="007909E2"/>
    <w:rsid w:val="00792C30"/>
    <w:rsid w:val="00792EB6"/>
    <w:rsid w:val="00795E14"/>
    <w:rsid w:val="007A09B9"/>
    <w:rsid w:val="007A1025"/>
    <w:rsid w:val="007A2527"/>
    <w:rsid w:val="007A3205"/>
    <w:rsid w:val="007A493E"/>
    <w:rsid w:val="007A7C07"/>
    <w:rsid w:val="007B00A4"/>
    <w:rsid w:val="007B0B4C"/>
    <w:rsid w:val="007B1576"/>
    <w:rsid w:val="007B53BF"/>
    <w:rsid w:val="007B5DB6"/>
    <w:rsid w:val="007B7304"/>
    <w:rsid w:val="007C0F18"/>
    <w:rsid w:val="007C2102"/>
    <w:rsid w:val="007C3072"/>
    <w:rsid w:val="007C5253"/>
    <w:rsid w:val="007C7002"/>
    <w:rsid w:val="007C7547"/>
    <w:rsid w:val="007C763F"/>
    <w:rsid w:val="007D3F30"/>
    <w:rsid w:val="007D65F0"/>
    <w:rsid w:val="007E5F3E"/>
    <w:rsid w:val="007E74E0"/>
    <w:rsid w:val="007F00D8"/>
    <w:rsid w:val="007F1552"/>
    <w:rsid w:val="007F20AD"/>
    <w:rsid w:val="007F2775"/>
    <w:rsid w:val="007F7772"/>
    <w:rsid w:val="007F7879"/>
    <w:rsid w:val="007F7A77"/>
    <w:rsid w:val="00801311"/>
    <w:rsid w:val="00805CBF"/>
    <w:rsid w:val="008074BA"/>
    <w:rsid w:val="00807BE7"/>
    <w:rsid w:val="008121BE"/>
    <w:rsid w:val="008152B8"/>
    <w:rsid w:val="00815BEE"/>
    <w:rsid w:val="00817D9B"/>
    <w:rsid w:val="008208EA"/>
    <w:rsid w:val="0082248A"/>
    <w:rsid w:val="00823250"/>
    <w:rsid w:val="00824C12"/>
    <w:rsid w:val="00825536"/>
    <w:rsid w:val="0082614C"/>
    <w:rsid w:val="00830057"/>
    <w:rsid w:val="00840E82"/>
    <w:rsid w:val="0084121F"/>
    <w:rsid w:val="0084338D"/>
    <w:rsid w:val="00845574"/>
    <w:rsid w:val="00845B92"/>
    <w:rsid w:val="00853F70"/>
    <w:rsid w:val="008561C8"/>
    <w:rsid w:val="00860846"/>
    <w:rsid w:val="00860D11"/>
    <w:rsid w:val="00861ADC"/>
    <w:rsid w:val="008653EB"/>
    <w:rsid w:val="008655E4"/>
    <w:rsid w:val="00870085"/>
    <w:rsid w:val="00870F78"/>
    <w:rsid w:val="00872525"/>
    <w:rsid w:val="00875E69"/>
    <w:rsid w:val="00880B34"/>
    <w:rsid w:val="00881397"/>
    <w:rsid w:val="00885DF1"/>
    <w:rsid w:val="00886FE7"/>
    <w:rsid w:val="00890258"/>
    <w:rsid w:val="00891330"/>
    <w:rsid w:val="008921FC"/>
    <w:rsid w:val="008926AE"/>
    <w:rsid w:val="008939FE"/>
    <w:rsid w:val="00893FF2"/>
    <w:rsid w:val="00894379"/>
    <w:rsid w:val="00897CEB"/>
    <w:rsid w:val="00897D7D"/>
    <w:rsid w:val="008A2203"/>
    <w:rsid w:val="008A2CB6"/>
    <w:rsid w:val="008A462E"/>
    <w:rsid w:val="008B11F0"/>
    <w:rsid w:val="008B2FC9"/>
    <w:rsid w:val="008B3378"/>
    <w:rsid w:val="008B34B0"/>
    <w:rsid w:val="008B4DDB"/>
    <w:rsid w:val="008B62C8"/>
    <w:rsid w:val="008B773C"/>
    <w:rsid w:val="008C15CB"/>
    <w:rsid w:val="008C2559"/>
    <w:rsid w:val="008C5CC8"/>
    <w:rsid w:val="008C6684"/>
    <w:rsid w:val="008D1067"/>
    <w:rsid w:val="008D106C"/>
    <w:rsid w:val="008D25B7"/>
    <w:rsid w:val="008D2728"/>
    <w:rsid w:val="008D31C5"/>
    <w:rsid w:val="008D3605"/>
    <w:rsid w:val="008D49AA"/>
    <w:rsid w:val="008D4ABC"/>
    <w:rsid w:val="008D5E9F"/>
    <w:rsid w:val="008D7923"/>
    <w:rsid w:val="008E0B45"/>
    <w:rsid w:val="008E2AD6"/>
    <w:rsid w:val="008E2FF3"/>
    <w:rsid w:val="008E3745"/>
    <w:rsid w:val="008E449F"/>
    <w:rsid w:val="008E5AE5"/>
    <w:rsid w:val="008E6DEB"/>
    <w:rsid w:val="008E76B2"/>
    <w:rsid w:val="008E7735"/>
    <w:rsid w:val="008E7BEC"/>
    <w:rsid w:val="008F189D"/>
    <w:rsid w:val="008F2ADD"/>
    <w:rsid w:val="008F382A"/>
    <w:rsid w:val="00902013"/>
    <w:rsid w:val="00904D29"/>
    <w:rsid w:val="00905C3A"/>
    <w:rsid w:val="00916219"/>
    <w:rsid w:val="00917149"/>
    <w:rsid w:val="0092078D"/>
    <w:rsid w:val="009218EA"/>
    <w:rsid w:val="009221B6"/>
    <w:rsid w:val="00922A0B"/>
    <w:rsid w:val="009236E4"/>
    <w:rsid w:val="0092631C"/>
    <w:rsid w:val="00927F99"/>
    <w:rsid w:val="009350B2"/>
    <w:rsid w:val="00937548"/>
    <w:rsid w:val="00940DAD"/>
    <w:rsid w:val="00942152"/>
    <w:rsid w:val="00942561"/>
    <w:rsid w:val="009501D2"/>
    <w:rsid w:val="00950A8C"/>
    <w:rsid w:val="00950FD6"/>
    <w:rsid w:val="00952614"/>
    <w:rsid w:val="00955070"/>
    <w:rsid w:val="00961637"/>
    <w:rsid w:val="00962B25"/>
    <w:rsid w:val="00963035"/>
    <w:rsid w:val="0096312E"/>
    <w:rsid w:val="00967225"/>
    <w:rsid w:val="00967367"/>
    <w:rsid w:val="009677EC"/>
    <w:rsid w:val="00967CBE"/>
    <w:rsid w:val="009733C7"/>
    <w:rsid w:val="00975A2C"/>
    <w:rsid w:val="00980519"/>
    <w:rsid w:val="00983593"/>
    <w:rsid w:val="00987465"/>
    <w:rsid w:val="00987641"/>
    <w:rsid w:val="00987F7C"/>
    <w:rsid w:val="0099173A"/>
    <w:rsid w:val="009917E5"/>
    <w:rsid w:val="00992CD3"/>
    <w:rsid w:val="00993084"/>
    <w:rsid w:val="009A2786"/>
    <w:rsid w:val="009A3622"/>
    <w:rsid w:val="009A3AD7"/>
    <w:rsid w:val="009A4A1C"/>
    <w:rsid w:val="009A503B"/>
    <w:rsid w:val="009A5BFD"/>
    <w:rsid w:val="009B1B15"/>
    <w:rsid w:val="009B2751"/>
    <w:rsid w:val="009B2A38"/>
    <w:rsid w:val="009B49D7"/>
    <w:rsid w:val="009B773F"/>
    <w:rsid w:val="009C2A4C"/>
    <w:rsid w:val="009C444F"/>
    <w:rsid w:val="009C45A1"/>
    <w:rsid w:val="009C4BD2"/>
    <w:rsid w:val="009C52AB"/>
    <w:rsid w:val="009C6437"/>
    <w:rsid w:val="009D0F89"/>
    <w:rsid w:val="009D25E3"/>
    <w:rsid w:val="009D2E49"/>
    <w:rsid w:val="009D3E09"/>
    <w:rsid w:val="009D509D"/>
    <w:rsid w:val="009D5D34"/>
    <w:rsid w:val="009D6163"/>
    <w:rsid w:val="009E08D6"/>
    <w:rsid w:val="009E0C66"/>
    <w:rsid w:val="009E0EA9"/>
    <w:rsid w:val="009E121A"/>
    <w:rsid w:val="009E16FD"/>
    <w:rsid w:val="009E1817"/>
    <w:rsid w:val="009E1D5D"/>
    <w:rsid w:val="009E31B4"/>
    <w:rsid w:val="009E4A48"/>
    <w:rsid w:val="009E4B33"/>
    <w:rsid w:val="009E535B"/>
    <w:rsid w:val="009E64C1"/>
    <w:rsid w:val="009E6D6E"/>
    <w:rsid w:val="009E7AA0"/>
    <w:rsid w:val="009F0C95"/>
    <w:rsid w:val="009F0EDC"/>
    <w:rsid w:val="009F30DB"/>
    <w:rsid w:val="009F4C36"/>
    <w:rsid w:val="009F51E2"/>
    <w:rsid w:val="009F64A3"/>
    <w:rsid w:val="009F669D"/>
    <w:rsid w:val="009F6847"/>
    <w:rsid w:val="009F724B"/>
    <w:rsid w:val="00A00940"/>
    <w:rsid w:val="00A01263"/>
    <w:rsid w:val="00A017E2"/>
    <w:rsid w:val="00A01855"/>
    <w:rsid w:val="00A0350E"/>
    <w:rsid w:val="00A03978"/>
    <w:rsid w:val="00A0617B"/>
    <w:rsid w:val="00A0658D"/>
    <w:rsid w:val="00A10639"/>
    <w:rsid w:val="00A10966"/>
    <w:rsid w:val="00A1136D"/>
    <w:rsid w:val="00A12C61"/>
    <w:rsid w:val="00A135D7"/>
    <w:rsid w:val="00A14B0E"/>
    <w:rsid w:val="00A15BB2"/>
    <w:rsid w:val="00A16FE3"/>
    <w:rsid w:val="00A175F2"/>
    <w:rsid w:val="00A17E23"/>
    <w:rsid w:val="00A20DC2"/>
    <w:rsid w:val="00A23E3E"/>
    <w:rsid w:val="00A2468C"/>
    <w:rsid w:val="00A2567A"/>
    <w:rsid w:val="00A25FB9"/>
    <w:rsid w:val="00A3069E"/>
    <w:rsid w:val="00A348C0"/>
    <w:rsid w:val="00A34A0F"/>
    <w:rsid w:val="00A3543F"/>
    <w:rsid w:val="00A35522"/>
    <w:rsid w:val="00A367FD"/>
    <w:rsid w:val="00A40523"/>
    <w:rsid w:val="00A41472"/>
    <w:rsid w:val="00A47C91"/>
    <w:rsid w:val="00A502E1"/>
    <w:rsid w:val="00A50A31"/>
    <w:rsid w:val="00A532A1"/>
    <w:rsid w:val="00A55DE9"/>
    <w:rsid w:val="00A6091A"/>
    <w:rsid w:val="00A60F1E"/>
    <w:rsid w:val="00A62316"/>
    <w:rsid w:val="00A625D8"/>
    <w:rsid w:val="00A6316B"/>
    <w:rsid w:val="00A6444D"/>
    <w:rsid w:val="00A65172"/>
    <w:rsid w:val="00A6677A"/>
    <w:rsid w:val="00A675C6"/>
    <w:rsid w:val="00A6792B"/>
    <w:rsid w:val="00A70360"/>
    <w:rsid w:val="00A70C8F"/>
    <w:rsid w:val="00A723F9"/>
    <w:rsid w:val="00A7295E"/>
    <w:rsid w:val="00A73E11"/>
    <w:rsid w:val="00A76408"/>
    <w:rsid w:val="00A77184"/>
    <w:rsid w:val="00A80936"/>
    <w:rsid w:val="00A80B0A"/>
    <w:rsid w:val="00A81D34"/>
    <w:rsid w:val="00A83880"/>
    <w:rsid w:val="00A85032"/>
    <w:rsid w:val="00A87894"/>
    <w:rsid w:val="00A87A5D"/>
    <w:rsid w:val="00A914B0"/>
    <w:rsid w:val="00A91917"/>
    <w:rsid w:val="00A925FE"/>
    <w:rsid w:val="00A94959"/>
    <w:rsid w:val="00A94FF2"/>
    <w:rsid w:val="00A97C2B"/>
    <w:rsid w:val="00AA0889"/>
    <w:rsid w:val="00AA0B64"/>
    <w:rsid w:val="00AA1C69"/>
    <w:rsid w:val="00AA2BAE"/>
    <w:rsid w:val="00AA7A70"/>
    <w:rsid w:val="00AB00A0"/>
    <w:rsid w:val="00AB025B"/>
    <w:rsid w:val="00AB1413"/>
    <w:rsid w:val="00AB26F2"/>
    <w:rsid w:val="00AB2E00"/>
    <w:rsid w:val="00AB30A1"/>
    <w:rsid w:val="00AB3DD1"/>
    <w:rsid w:val="00AB6B35"/>
    <w:rsid w:val="00AC17BC"/>
    <w:rsid w:val="00AC1F04"/>
    <w:rsid w:val="00AC24C9"/>
    <w:rsid w:val="00AC2995"/>
    <w:rsid w:val="00AC2C42"/>
    <w:rsid w:val="00AC33B8"/>
    <w:rsid w:val="00AC5309"/>
    <w:rsid w:val="00AC5FFC"/>
    <w:rsid w:val="00AC7B54"/>
    <w:rsid w:val="00AD20DE"/>
    <w:rsid w:val="00AD253C"/>
    <w:rsid w:val="00AD2B4E"/>
    <w:rsid w:val="00AD44DB"/>
    <w:rsid w:val="00AD6992"/>
    <w:rsid w:val="00AE0191"/>
    <w:rsid w:val="00AE14EC"/>
    <w:rsid w:val="00AE3026"/>
    <w:rsid w:val="00AE31F6"/>
    <w:rsid w:val="00AE478F"/>
    <w:rsid w:val="00AE4E10"/>
    <w:rsid w:val="00AF1D16"/>
    <w:rsid w:val="00AF32C1"/>
    <w:rsid w:val="00AF5509"/>
    <w:rsid w:val="00AF573D"/>
    <w:rsid w:val="00AF7880"/>
    <w:rsid w:val="00B00287"/>
    <w:rsid w:val="00B01088"/>
    <w:rsid w:val="00B02756"/>
    <w:rsid w:val="00B02970"/>
    <w:rsid w:val="00B05793"/>
    <w:rsid w:val="00B060EB"/>
    <w:rsid w:val="00B116B6"/>
    <w:rsid w:val="00B128A0"/>
    <w:rsid w:val="00B12F57"/>
    <w:rsid w:val="00B14BB2"/>
    <w:rsid w:val="00B1599E"/>
    <w:rsid w:val="00B202BF"/>
    <w:rsid w:val="00B20B50"/>
    <w:rsid w:val="00B227BE"/>
    <w:rsid w:val="00B2497D"/>
    <w:rsid w:val="00B259FD"/>
    <w:rsid w:val="00B271AE"/>
    <w:rsid w:val="00B2785C"/>
    <w:rsid w:val="00B30F4C"/>
    <w:rsid w:val="00B32615"/>
    <w:rsid w:val="00B33545"/>
    <w:rsid w:val="00B33F7D"/>
    <w:rsid w:val="00B34FA1"/>
    <w:rsid w:val="00B3636F"/>
    <w:rsid w:val="00B3647B"/>
    <w:rsid w:val="00B36C46"/>
    <w:rsid w:val="00B36F97"/>
    <w:rsid w:val="00B40BA8"/>
    <w:rsid w:val="00B40C94"/>
    <w:rsid w:val="00B415D5"/>
    <w:rsid w:val="00B42020"/>
    <w:rsid w:val="00B4325F"/>
    <w:rsid w:val="00B438CC"/>
    <w:rsid w:val="00B43D2E"/>
    <w:rsid w:val="00B43D59"/>
    <w:rsid w:val="00B45A57"/>
    <w:rsid w:val="00B46160"/>
    <w:rsid w:val="00B46CA9"/>
    <w:rsid w:val="00B47A97"/>
    <w:rsid w:val="00B5180A"/>
    <w:rsid w:val="00B51CC2"/>
    <w:rsid w:val="00B52966"/>
    <w:rsid w:val="00B55879"/>
    <w:rsid w:val="00B55F10"/>
    <w:rsid w:val="00B566A0"/>
    <w:rsid w:val="00B57C5C"/>
    <w:rsid w:val="00B60A1E"/>
    <w:rsid w:val="00B616FF"/>
    <w:rsid w:val="00B6586A"/>
    <w:rsid w:val="00B70511"/>
    <w:rsid w:val="00B70BB1"/>
    <w:rsid w:val="00B714E0"/>
    <w:rsid w:val="00B71B51"/>
    <w:rsid w:val="00B71B8C"/>
    <w:rsid w:val="00B72BB8"/>
    <w:rsid w:val="00B73D98"/>
    <w:rsid w:val="00B75217"/>
    <w:rsid w:val="00B756CF"/>
    <w:rsid w:val="00B758A6"/>
    <w:rsid w:val="00B758BF"/>
    <w:rsid w:val="00B7591A"/>
    <w:rsid w:val="00B76921"/>
    <w:rsid w:val="00B80DDB"/>
    <w:rsid w:val="00B81C9F"/>
    <w:rsid w:val="00B83262"/>
    <w:rsid w:val="00B8387E"/>
    <w:rsid w:val="00B84925"/>
    <w:rsid w:val="00B8501C"/>
    <w:rsid w:val="00B86FDF"/>
    <w:rsid w:val="00B90774"/>
    <w:rsid w:val="00B922D2"/>
    <w:rsid w:val="00B923DA"/>
    <w:rsid w:val="00B92CD0"/>
    <w:rsid w:val="00B92ECA"/>
    <w:rsid w:val="00B93078"/>
    <w:rsid w:val="00B96844"/>
    <w:rsid w:val="00B96E91"/>
    <w:rsid w:val="00B97463"/>
    <w:rsid w:val="00BA076D"/>
    <w:rsid w:val="00BA0DAF"/>
    <w:rsid w:val="00BA1E18"/>
    <w:rsid w:val="00BA4B13"/>
    <w:rsid w:val="00BA59A9"/>
    <w:rsid w:val="00BA7FD0"/>
    <w:rsid w:val="00BB1C4F"/>
    <w:rsid w:val="00BB2C39"/>
    <w:rsid w:val="00BB34E0"/>
    <w:rsid w:val="00BB3581"/>
    <w:rsid w:val="00BB5502"/>
    <w:rsid w:val="00BB595F"/>
    <w:rsid w:val="00BB7B2D"/>
    <w:rsid w:val="00BC0B38"/>
    <w:rsid w:val="00BC2848"/>
    <w:rsid w:val="00BC4436"/>
    <w:rsid w:val="00BC504C"/>
    <w:rsid w:val="00BC7E06"/>
    <w:rsid w:val="00BD2866"/>
    <w:rsid w:val="00BD3D7D"/>
    <w:rsid w:val="00BD4B0D"/>
    <w:rsid w:val="00BD6B78"/>
    <w:rsid w:val="00BD73F7"/>
    <w:rsid w:val="00BD79DA"/>
    <w:rsid w:val="00BD7F44"/>
    <w:rsid w:val="00BE08E9"/>
    <w:rsid w:val="00BE11C4"/>
    <w:rsid w:val="00BE217A"/>
    <w:rsid w:val="00BE30FD"/>
    <w:rsid w:val="00BE311F"/>
    <w:rsid w:val="00BE5803"/>
    <w:rsid w:val="00BF0865"/>
    <w:rsid w:val="00BF2624"/>
    <w:rsid w:val="00BF2B49"/>
    <w:rsid w:val="00BF437B"/>
    <w:rsid w:val="00BF459E"/>
    <w:rsid w:val="00BF4B61"/>
    <w:rsid w:val="00BF7AEC"/>
    <w:rsid w:val="00BF7B6D"/>
    <w:rsid w:val="00BF7F62"/>
    <w:rsid w:val="00C01117"/>
    <w:rsid w:val="00C03664"/>
    <w:rsid w:val="00C05780"/>
    <w:rsid w:val="00C10EB9"/>
    <w:rsid w:val="00C1202C"/>
    <w:rsid w:val="00C1214E"/>
    <w:rsid w:val="00C121CC"/>
    <w:rsid w:val="00C135F6"/>
    <w:rsid w:val="00C179CF"/>
    <w:rsid w:val="00C208C4"/>
    <w:rsid w:val="00C20DB2"/>
    <w:rsid w:val="00C21471"/>
    <w:rsid w:val="00C21F12"/>
    <w:rsid w:val="00C21F7E"/>
    <w:rsid w:val="00C23046"/>
    <w:rsid w:val="00C23874"/>
    <w:rsid w:val="00C23CA8"/>
    <w:rsid w:val="00C23D6C"/>
    <w:rsid w:val="00C23F44"/>
    <w:rsid w:val="00C24725"/>
    <w:rsid w:val="00C25E80"/>
    <w:rsid w:val="00C26446"/>
    <w:rsid w:val="00C2715E"/>
    <w:rsid w:val="00C27358"/>
    <w:rsid w:val="00C275B7"/>
    <w:rsid w:val="00C3089C"/>
    <w:rsid w:val="00C31BAB"/>
    <w:rsid w:val="00C33080"/>
    <w:rsid w:val="00C34CCA"/>
    <w:rsid w:val="00C34FCA"/>
    <w:rsid w:val="00C35BCD"/>
    <w:rsid w:val="00C36D3E"/>
    <w:rsid w:val="00C40D5A"/>
    <w:rsid w:val="00C418F3"/>
    <w:rsid w:val="00C45991"/>
    <w:rsid w:val="00C45E43"/>
    <w:rsid w:val="00C470DF"/>
    <w:rsid w:val="00C50736"/>
    <w:rsid w:val="00C51067"/>
    <w:rsid w:val="00C5196F"/>
    <w:rsid w:val="00C519E7"/>
    <w:rsid w:val="00C53279"/>
    <w:rsid w:val="00C55A45"/>
    <w:rsid w:val="00C63D92"/>
    <w:rsid w:val="00C63E24"/>
    <w:rsid w:val="00C64B8B"/>
    <w:rsid w:val="00C6509D"/>
    <w:rsid w:val="00C652D3"/>
    <w:rsid w:val="00C65CFB"/>
    <w:rsid w:val="00C679BB"/>
    <w:rsid w:val="00C67C1D"/>
    <w:rsid w:val="00C70E48"/>
    <w:rsid w:val="00C7186A"/>
    <w:rsid w:val="00C71C68"/>
    <w:rsid w:val="00C72264"/>
    <w:rsid w:val="00C730E9"/>
    <w:rsid w:val="00C73299"/>
    <w:rsid w:val="00C74E1A"/>
    <w:rsid w:val="00C81900"/>
    <w:rsid w:val="00C81DCC"/>
    <w:rsid w:val="00C84AF7"/>
    <w:rsid w:val="00C8534C"/>
    <w:rsid w:val="00C85B26"/>
    <w:rsid w:val="00C87E62"/>
    <w:rsid w:val="00C91336"/>
    <w:rsid w:val="00C92955"/>
    <w:rsid w:val="00C9549D"/>
    <w:rsid w:val="00C95677"/>
    <w:rsid w:val="00C95CF0"/>
    <w:rsid w:val="00C95F0A"/>
    <w:rsid w:val="00C979DD"/>
    <w:rsid w:val="00C97D99"/>
    <w:rsid w:val="00CA2B61"/>
    <w:rsid w:val="00CA3A94"/>
    <w:rsid w:val="00CA4CF5"/>
    <w:rsid w:val="00CA4D13"/>
    <w:rsid w:val="00CA4E76"/>
    <w:rsid w:val="00CA61F1"/>
    <w:rsid w:val="00CB057E"/>
    <w:rsid w:val="00CB1D68"/>
    <w:rsid w:val="00CB1EE0"/>
    <w:rsid w:val="00CB2858"/>
    <w:rsid w:val="00CB41CD"/>
    <w:rsid w:val="00CB497F"/>
    <w:rsid w:val="00CB5A20"/>
    <w:rsid w:val="00CB686A"/>
    <w:rsid w:val="00CB6D19"/>
    <w:rsid w:val="00CC0645"/>
    <w:rsid w:val="00CC17E1"/>
    <w:rsid w:val="00CC1F90"/>
    <w:rsid w:val="00CC3695"/>
    <w:rsid w:val="00CC38B1"/>
    <w:rsid w:val="00CC409C"/>
    <w:rsid w:val="00CC4433"/>
    <w:rsid w:val="00CC4C42"/>
    <w:rsid w:val="00CC62FF"/>
    <w:rsid w:val="00CC669F"/>
    <w:rsid w:val="00CD066B"/>
    <w:rsid w:val="00CD368D"/>
    <w:rsid w:val="00CD399E"/>
    <w:rsid w:val="00CD3B50"/>
    <w:rsid w:val="00CD7404"/>
    <w:rsid w:val="00CE1611"/>
    <w:rsid w:val="00CE1DD3"/>
    <w:rsid w:val="00CE3017"/>
    <w:rsid w:val="00CE416C"/>
    <w:rsid w:val="00CE4D04"/>
    <w:rsid w:val="00CE674B"/>
    <w:rsid w:val="00CE7CBA"/>
    <w:rsid w:val="00CF149E"/>
    <w:rsid w:val="00CF226A"/>
    <w:rsid w:val="00CF2990"/>
    <w:rsid w:val="00CF2B20"/>
    <w:rsid w:val="00CF499F"/>
    <w:rsid w:val="00CF6C8A"/>
    <w:rsid w:val="00CF6F9D"/>
    <w:rsid w:val="00D034E2"/>
    <w:rsid w:val="00D03F16"/>
    <w:rsid w:val="00D05961"/>
    <w:rsid w:val="00D05B1B"/>
    <w:rsid w:val="00D05D68"/>
    <w:rsid w:val="00D05E97"/>
    <w:rsid w:val="00D0712D"/>
    <w:rsid w:val="00D10362"/>
    <w:rsid w:val="00D10FCD"/>
    <w:rsid w:val="00D10FD9"/>
    <w:rsid w:val="00D112CB"/>
    <w:rsid w:val="00D12080"/>
    <w:rsid w:val="00D12465"/>
    <w:rsid w:val="00D12534"/>
    <w:rsid w:val="00D12FF2"/>
    <w:rsid w:val="00D14CFA"/>
    <w:rsid w:val="00D162DD"/>
    <w:rsid w:val="00D168F0"/>
    <w:rsid w:val="00D1743E"/>
    <w:rsid w:val="00D22178"/>
    <w:rsid w:val="00D2259E"/>
    <w:rsid w:val="00D22AD5"/>
    <w:rsid w:val="00D26795"/>
    <w:rsid w:val="00D26D9C"/>
    <w:rsid w:val="00D278E7"/>
    <w:rsid w:val="00D300A5"/>
    <w:rsid w:val="00D333F4"/>
    <w:rsid w:val="00D34B30"/>
    <w:rsid w:val="00D3650C"/>
    <w:rsid w:val="00D36B5A"/>
    <w:rsid w:val="00D36E15"/>
    <w:rsid w:val="00D371F2"/>
    <w:rsid w:val="00D40E42"/>
    <w:rsid w:val="00D4244F"/>
    <w:rsid w:val="00D4290D"/>
    <w:rsid w:val="00D443F3"/>
    <w:rsid w:val="00D46E28"/>
    <w:rsid w:val="00D50078"/>
    <w:rsid w:val="00D50E7E"/>
    <w:rsid w:val="00D526D3"/>
    <w:rsid w:val="00D52ACB"/>
    <w:rsid w:val="00D5497A"/>
    <w:rsid w:val="00D55A27"/>
    <w:rsid w:val="00D568FA"/>
    <w:rsid w:val="00D5704A"/>
    <w:rsid w:val="00D608E7"/>
    <w:rsid w:val="00D61D47"/>
    <w:rsid w:val="00D62619"/>
    <w:rsid w:val="00D62D50"/>
    <w:rsid w:val="00D65A60"/>
    <w:rsid w:val="00D65DBD"/>
    <w:rsid w:val="00D66ED0"/>
    <w:rsid w:val="00D67411"/>
    <w:rsid w:val="00D71413"/>
    <w:rsid w:val="00D729E4"/>
    <w:rsid w:val="00D739C2"/>
    <w:rsid w:val="00D73C45"/>
    <w:rsid w:val="00D74D53"/>
    <w:rsid w:val="00D76D9B"/>
    <w:rsid w:val="00D77470"/>
    <w:rsid w:val="00D774E1"/>
    <w:rsid w:val="00D77E79"/>
    <w:rsid w:val="00D80546"/>
    <w:rsid w:val="00D91D2B"/>
    <w:rsid w:val="00D93AE6"/>
    <w:rsid w:val="00D95C08"/>
    <w:rsid w:val="00DA1625"/>
    <w:rsid w:val="00DA2784"/>
    <w:rsid w:val="00DA3569"/>
    <w:rsid w:val="00DA3A5F"/>
    <w:rsid w:val="00DA6843"/>
    <w:rsid w:val="00DB13DF"/>
    <w:rsid w:val="00DB141C"/>
    <w:rsid w:val="00DB2606"/>
    <w:rsid w:val="00DB43CC"/>
    <w:rsid w:val="00DB56D8"/>
    <w:rsid w:val="00DB67F7"/>
    <w:rsid w:val="00DC0347"/>
    <w:rsid w:val="00DC0AD2"/>
    <w:rsid w:val="00DC0E3E"/>
    <w:rsid w:val="00DC30BE"/>
    <w:rsid w:val="00DC45C2"/>
    <w:rsid w:val="00DC4CC3"/>
    <w:rsid w:val="00DC63EE"/>
    <w:rsid w:val="00DD2CAD"/>
    <w:rsid w:val="00DD3E9B"/>
    <w:rsid w:val="00DD5719"/>
    <w:rsid w:val="00DD5CB8"/>
    <w:rsid w:val="00DD5E5A"/>
    <w:rsid w:val="00DD64BB"/>
    <w:rsid w:val="00DD6EAB"/>
    <w:rsid w:val="00DE3A99"/>
    <w:rsid w:val="00DE4952"/>
    <w:rsid w:val="00DE60EE"/>
    <w:rsid w:val="00DE6187"/>
    <w:rsid w:val="00DE6A74"/>
    <w:rsid w:val="00DF3059"/>
    <w:rsid w:val="00DF3996"/>
    <w:rsid w:val="00DF5108"/>
    <w:rsid w:val="00DF64ED"/>
    <w:rsid w:val="00DF67D6"/>
    <w:rsid w:val="00E00D46"/>
    <w:rsid w:val="00E01030"/>
    <w:rsid w:val="00E013A7"/>
    <w:rsid w:val="00E01F34"/>
    <w:rsid w:val="00E0400B"/>
    <w:rsid w:val="00E04B07"/>
    <w:rsid w:val="00E101CD"/>
    <w:rsid w:val="00E104C7"/>
    <w:rsid w:val="00E11B65"/>
    <w:rsid w:val="00E14146"/>
    <w:rsid w:val="00E15098"/>
    <w:rsid w:val="00E159E0"/>
    <w:rsid w:val="00E1715E"/>
    <w:rsid w:val="00E175D9"/>
    <w:rsid w:val="00E17F1E"/>
    <w:rsid w:val="00E23A93"/>
    <w:rsid w:val="00E23ECF"/>
    <w:rsid w:val="00E242DD"/>
    <w:rsid w:val="00E25451"/>
    <w:rsid w:val="00E26CE5"/>
    <w:rsid w:val="00E278AB"/>
    <w:rsid w:val="00E31719"/>
    <w:rsid w:val="00E31BDB"/>
    <w:rsid w:val="00E31EBC"/>
    <w:rsid w:val="00E329F7"/>
    <w:rsid w:val="00E33843"/>
    <w:rsid w:val="00E33C67"/>
    <w:rsid w:val="00E35DF5"/>
    <w:rsid w:val="00E36FDF"/>
    <w:rsid w:val="00E40F54"/>
    <w:rsid w:val="00E4202E"/>
    <w:rsid w:val="00E427A0"/>
    <w:rsid w:val="00E4605A"/>
    <w:rsid w:val="00E4696E"/>
    <w:rsid w:val="00E50440"/>
    <w:rsid w:val="00E50EA7"/>
    <w:rsid w:val="00E521C0"/>
    <w:rsid w:val="00E61384"/>
    <w:rsid w:val="00E62C84"/>
    <w:rsid w:val="00E65DB0"/>
    <w:rsid w:val="00E6633F"/>
    <w:rsid w:val="00E67CDB"/>
    <w:rsid w:val="00E71C7B"/>
    <w:rsid w:val="00E728F9"/>
    <w:rsid w:val="00E82023"/>
    <w:rsid w:val="00E840C8"/>
    <w:rsid w:val="00E84B59"/>
    <w:rsid w:val="00E864E4"/>
    <w:rsid w:val="00E8688D"/>
    <w:rsid w:val="00E86DE0"/>
    <w:rsid w:val="00E86EC4"/>
    <w:rsid w:val="00E911B7"/>
    <w:rsid w:val="00E91EFD"/>
    <w:rsid w:val="00E92893"/>
    <w:rsid w:val="00E92DBA"/>
    <w:rsid w:val="00E93EF1"/>
    <w:rsid w:val="00E953D1"/>
    <w:rsid w:val="00E979C7"/>
    <w:rsid w:val="00EA0DB6"/>
    <w:rsid w:val="00EA39BE"/>
    <w:rsid w:val="00EA3FC8"/>
    <w:rsid w:val="00EA4FC2"/>
    <w:rsid w:val="00EA6327"/>
    <w:rsid w:val="00EA7B63"/>
    <w:rsid w:val="00EB3212"/>
    <w:rsid w:val="00EB4086"/>
    <w:rsid w:val="00EB5741"/>
    <w:rsid w:val="00EC180E"/>
    <w:rsid w:val="00EC4800"/>
    <w:rsid w:val="00EC4C0E"/>
    <w:rsid w:val="00EC51E2"/>
    <w:rsid w:val="00EC620F"/>
    <w:rsid w:val="00ED0ECE"/>
    <w:rsid w:val="00ED2B6D"/>
    <w:rsid w:val="00ED437F"/>
    <w:rsid w:val="00ED7645"/>
    <w:rsid w:val="00ED7D42"/>
    <w:rsid w:val="00EE0348"/>
    <w:rsid w:val="00EE131F"/>
    <w:rsid w:val="00EE1E2A"/>
    <w:rsid w:val="00EE2E20"/>
    <w:rsid w:val="00EE536E"/>
    <w:rsid w:val="00EE5F09"/>
    <w:rsid w:val="00EE72B5"/>
    <w:rsid w:val="00EE7E7F"/>
    <w:rsid w:val="00EF133D"/>
    <w:rsid w:val="00EF377E"/>
    <w:rsid w:val="00EF4084"/>
    <w:rsid w:val="00EF46AE"/>
    <w:rsid w:val="00EF5C7E"/>
    <w:rsid w:val="00EF5F19"/>
    <w:rsid w:val="00EF6B05"/>
    <w:rsid w:val="00EF6D3D"/>
    <w:rsid w:val="00EF6F69"/>
    <w:rsid w:val="00EF7710"/>
    <w:rsid w:val="00EF7B09"/>
    <w:rsid w:val="00EF7DE6"/>
    <w:rsid w:val="00EF7E90"/>
    <w:rsid w:val="00F01A79"/>
    <w:rsid w:val="00F05882"/>
    <w:rsid w:val="00F077F0"/>
    <w:rsid w:val="00F100E5"/>
    <w:rsid w:val="00F10E3B"/>
    <w:rsid w:val="00F123D5"/>
    <w:rsid w:val="00F12644"/>
    <w:rsid w:val="00F12860"/>
    <w:rsid w:val="00F1338F"/>
    <w:rsid w:val="00F148BF"/>
    <w:rsid w:val="00F15900"/>
    <w:rsid w:val="00F20959"/>
    <w:rsid w:val="00F23FBF"/>
    <w:rsid w:val="00F2476E"/>
    <w:rsid w:val="00F252F3"/>
    <w:rsid w:val="00F25BFF"/>
    <w:rsid w:val="00F26CCD"/>
    <w:rsid w:val="00F308FF"/>
    <w:rsid w:val="00F30C0D"/>
    <w:rsid w:val="00F31E6A"/>
    <w:rsid w:val="00F3456A"/>
    <w:rsid w:val="00F34DC4"/>
    <w:rsid w:val="00F366A0"/>
    <w:rsid w:val="00F37A06"/>
    <w:rsid w:val="00F402E7"/>
    <w:rsid w:val="00F41149"/>
    <w:rsid w:val="00F4389F"/>
    <w:rsid w:val="00F45B5E"/>
    <w:rsid w:val="00F45DF6"/>
    <w:rsid w:val="00F50312"/>
    <w:rsid w:val="00F51963"/>
    <w:rsid w:val="00F519F7"/>
    <w:rsid w:val="00F52F57"/>
    <w:rsid w:val="00F55AFF"/>
    <w:rsid w:val="00F56982"/>
    <w:rsid w:val="00F60AE4"/>
    <w:rsid w:val="00F61756"/>
    <w:rsid w:val="00F61E40"/>
    <w:rsid w:val="00F62DEB"/>
    <w:rsid w:val="00F7087F"/>
    <w:rsid w:val="00F72848"/>
    <w:rsid w:val="00F72BF1"/>
    <w:rsid w:val="00F7328C"/>
    <w:rsid w:val="00F73F21"/>
    <w:rsid w:val="00F749C8"/>
    <w:rsid w:val="00F74E6D"/>
    <w:rsid w:val="00F75783"/>
    <w:rsid w:val="00F75B2F"/>
    <w:rsid w:val="00F76847"/>
    <w:rsid w:val="00F831EF"/>
    <w:rsid w:val="00F83F1E"/>
    <w:rsid w:val="00F84F19"/>
    <w:rsid w:val="00F86180"/>
    <w:rsid w:val="00F87331"/>
    <w:rsid w:val="00F87D1A"/>
    <w:rsid w:val="00F915A8"/>
    <w:rsid w:val="00F91A39"/>
    <w:rsid w:val="00F920CA"/>
    <w:rsid w:val="00F92943"/>
    <w:rsid w:val="00F93FF5"/>
    <w:rsid w:val="00F96094"/>
    <w:rsid w:val="00F964C4"/>
    <w:rsid w:val="00FA1898"/>
    <w:rsid w:val="00FA4F93"/>
    <w:rsid w:val="00FA5349"/>
    <w:rsid w:val="00FA7206"/>
    <w:rsid w:val="00FA7858"/>
    <w:rsid w:val="00FA7E15"/>
    <w:rsid w:val="00FB0CE9"/>
    <w:rsid w:val="00FB128C"/>
    <w:rsid w:val="00FB2031"/>
    <w:rsid w:val="00FB2BF8"/>
    <w:rsid w:val="00FB30A3"/>
    <w:rsid w:val="00FB500E"/>
    <w:rsid w:val="00FB5D6D"/>
    <w:rsid w:val="00FB748E"/>
    <w:rsid w:val="00FC285D"/>
    <w:rsid w:val="00FD11CE"/>
    <w:rsid w:val="00FD62B2"/>
    <w:rsid w:val="00FD689E"/>
    <w:rsid w:val="00FD6D04"/>
    <w:rsid w:val="00FD73CC"/>
    <w:rsid w:val="00FE00DD"/>
    <w:rsid w:val="00FE2B93"/>
    <w:rsid w:val="00FE2EE1"/>
    <w:rsid w:val="00FE3BD1"/>
    <w:rsid w:val="00FE50FC"/>
    <w:rsid w:val="00FF087A"/>
    <w:rsid w:val="00FF258A"/>
    <w:rsid w:val="00FF2E29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1557FB-99D4-46AE-ADC3-3F1F6E81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customStyle="1" w:styleId="ConsPlusNormal">
    <w:name w:val="ConsPlusNormal"/>
    <w:rsid w:val="00EB574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2">
    <w:name w:val="Body Text 2"/>
    <w:basedOn w:val="a"/>
    <w:link w:val="20"/>
    <w:semiHidden/>
    <w:unhideWhenUsed/>
    <w:rsid w:val="00B616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616FF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26795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2F73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F7348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ED437F"/>
  </w:style>
  <w:style w:type="table" w:styleId="ac">
    <w:name w:val="Table Grid"/>
    <w:basedOn w:val="a1"/>
    <w:rsid w:val="0025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66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3102-83BC-4FD5-9175-23CC0CE1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12</Pages>
  <Words>2507</Words>
  <Characters>18302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Ivadm</Company>
  <LinksUpToDate>false</LinksUpToDate>
  <CharactersWithSpaces>20768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bakvv</dc:creator>
  <cp:keywords/>
  <cp:lastModifiedBy>morozova.nm</cp:lastModifiedBy>
  <cp:revision>160</cp:revision>
  <cp:lastPrinted>2019-06-04T10:45:00Z</cp:lastPrinted>
  <dcterms:created xsi:type="dcterms:W3CDTF">2018-03-21T11:44:00Z</dcterms:created>
  <dcterms:modified xsi:type="dcterms:W3CDTF">2019-06-04T10:55:00Z</dcterms:modified>
</cp:coreProperties>
</file>