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31" w:rsidRPr="00E70CAA" w:rsidRDefault="000B5731" w:rsidP="000B5731">
      <w:pPr>
        <w:jc w:val="center"/>
      </w:pPr>
      <w:r w:rsidRPr="00E70CAA">
        <w:rPr>
          <w:noProof/>
        </w:rPr>
        <w:drawing>
          <wp:inline distT="0" distB="0" distL="0" distR="0" wp14:anchorId="7FAB00F9" wp14:editId="5E513D1A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31" w:rsidRPr="00E70CAA" w:rsidRDefault="000B5731" w:rsidP="000B5731">
      <w:pPr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>ДЕПАРТАМЕНТ ФИНАНСОВ</w:t>
      </w:r>
    </w:p>
    <w:p w:rsidR="000B5731" w:rsidRPr="00E70CAA" w:rsidRDefault="000B5731" w:rsidP="000B5731">
      <w:pPr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 xml:space="preserve">ИВАНОВСКОЙ ОБЛАСТИ </w:t>
      </w:r>
    </w:p>
    <w:p w:rsidR="000B5731" w:rsidRPr="00E70CAA" w:rsidRDefault="000B5731" w:rsidP="000B5731">
      <w:pPr>
        <w:rPr>
          <w:b/>
          <w:sz w:val="36"/>
          <w:szCs w:val="36"/>
        </w:rPr>
      </w:pPr>
    </w:p>
    <w:p w:rsidR="000B5731" w:rsidRPr="00D21DDD" w:rsidRDefault="000B5731" w:rsidP="000B5731">
      <w:pPr>
        <w:jc w:val="center"/>
        <w:rPr>
          <w:b/>
          <w:sz w:val="32"/>
          <w:szCs w:val="32"/>
        </w:rPr>
      </w:pPr>
      <w:r w:rsidRPr="00E70CA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A1F6F8" wp14:editId="798C70D7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731" w:rsidRDefault="000B5731" w:rsidP="000B57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F6F8" id="Прямоугольник 2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" o:allowincell="f" filled="f" stroked="f">
                <v:textbox inset="1pt,1pt,1pt,1pt">
                  <w:txbxContent>
                    <w:p w:rsidR="000B5731" w:rsidRDefault="000B5731" w:rsidP="000B57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1DDD">
        <w:rPr>
          <w:b/>
          <w:noProof/>
          <w:sz w:val="32"/>
          <w:szCs w:val="32"/>
        </w:rPr>
        <w:t>П Р И К А З</w:t>
      </w:r>
    </w:p>
    <w:p w:rsidR="000B5731" w:rsidRPr="00E70CAA" w:rsidRDefault="000B5731" w:rsidP="000B5731">
      <w:pPr>
        <w:rPr>
          <w:sz w:val="28"/>
          <w:szCs w:val="28"/>
        </w:rPr>
      </w:pPr>
    </w:p>
    <w:p w:rsidR="000B5731" w:rsidRPr="00E70CAA" w:rsidRDefault="000B5731" w:rsidP="000B5731">
      <w:pPr>
        <w:rPr>
          <w:sz w:val="28"/>
          <w:szCs w:val="28"/>
          <w:u w:val="single"/>
        </w:rPr>
      </w:pPr>
      <w:r w:rsidRPr="00E70CAA">
        <w:rPr>
          <w:sz w:val="28"/>
          <w:szCs w:val="28"/>
        </w:rPr>
        <w:t>«____» ___________ 2020 г.                                                                     № _____</w:t>
      </w:r>
    </w:p>
    <w:p w:rsidR="000B5731" w:rsidRDefault="000B5731" w:rsidP="000B5731">
      <w:pPr>
        <w:ind w:firstLine="709"/>
        <w:rPr>
          <w:sz w:val="28"/>
          <w:szCs w:val="28"/>
        </w:rPr>
      </w:pPr>
    </w:p>
    <w:p w:rsidR="00C6587C" w:rsidRPr="00E70CAA" w:rsidRDefault="00C6587C" w:rsidP="000B5731">
      <w:pPr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0B5731" w:rsidRPr="00E70CAA" w:rsidTr="004A16F7">
        <w:tc>
          <w:tcPr>
            <w:tcW w:w="9287" w:type="dxa"/>
          </w:tcPr>
          <w:p w:rsidR="000B5731" w:rsidRPr="00E70CAA" w:rsidRDefault="000B5731" w:rsidP="00C6587C">
            <w:pPr>
              <w:autoSpaceDE w:val="0"/>
              <w:autoSpaceDN w:val="0"/>
              <w:adjustRightInd w:val="0"/>
              <w:ind w:right="3401"/>
              <w:jc w:val="both"/>
              <w:rPr>
                <w:b/>
                <w:sz w:val="28"/>
                <w:szCs w:val="28"/>
              </w:rPr>
            </w:pPr>
            <w:r w:rsidRPr="00E70CAA">
              <w:rPr>
                <w:b/>
                <w:sz w:val="28"/>
                <w:szCs w:val="28"/>
              </w:rPr>
              <w:t>Об у</w:t>
            </w:r>
            <w:r w:rsidR="00C6587C">
              <w:rPr>
                <w:b/>
                <w:sz w:val="28"/>
                <w:szCs w:val="28"/>
              </w:rPr>
              <w:t>становлении</w:t>
            </w:r>
            <w:r w:rsidRPr="00E70CAA">
              <w:rPr>
                <w:b/>
                <w:sz w:val="28"/>
                <w:szCs w:val="28"/>
              </w:rPr>
              <w:t xml:space="preserve"> Порядка направления остатков средств областного бюджета на начало текущего финансового года в объеме, не превышающем сумму остатка не 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 </w:t>
            </w:r>
          </w:p>
        </w:tc>
      </w:tr>
      <w:tr w:rsidR="000B5731" w:rsidRPr="00E70CAA" w:rsidTr="004A16F7">
        <w:tc>
          <w:tcPr>
            <w:tcW w:w="9287" w:type="dxa"/>
          </w:tcPr>
          <w:p w:rsidR="000B5731" w:rsidRPr="00E70CAA" w:rsidRDefault="000B5731" w:rsidP="004A16F7">
            <w:pPr>
              <w:pStyle w:val="a5"/>
              <w:spacing w:after="0"/>
              <w:ind w:left="0" w:firstLine="709"/>
              <w:jc w:val="both"/>
              <w:rPr>
                <w:szCs w:val="24"/>
              </w:rPr>
            </w:pPr>
          </w:p>
          <w:p w:rsidR="008A5DDA" w:rsidRDefault="000B5731" w:rsidP="004A16F7">
            <w:pPr>
              <w:pStyle w:val="a5"/>
              <w:ind w:left="0" w:firstLine="709"/>
              <w:jc w:val="both"/>
              <w:rPr>
                <w:sz w:val="28"/>
                <w:szCs w:val="28"/>
              </w:rPr>
            </w:pPr>
            <w:r w:rsidRPr="00E70CAA">
              <w:rPr>
                <w:sz w:val="28"/>
                <w:szCs w:val="28"/>
              </w:rPr>
              <w:t>В соответствии с Бюджетным кодексом Российской Федерации и пунктом 2 части 3 статьи 11 Закона Ивановской области от 16.12.2019 № 75-ОЗ «Об областном бюджете на 2020 год и на плановый период 2021 и 2022 годов»</w:t>
            </w:r>
          </w:p>
          <w:p w:rsidR="000B5731" w:rsidRPr="00E70CAA" w:rsidRDefault="008A5DDA" w:rsidP="008A5DDA">
            <w:pPr>
              <w:pStyle w:val="a5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Р И К А З Ы В А Ю</w:t>
            </w:r>
            <w:r w:rsidRPr="00E70CAA">
              <w:rPr>
                <w:sz w:val="28"/>
                <w:szCs w:val="28"/>
              </w:rPr>
              <w:t>:</w:t>
            </w:r>
          </w:p>
          <w:p w:rsidR="000B5731" w:rsidRPr="00E70CAA" w:rsidRDefault="000B5731" w:rsidP="004A16F7">
            <w:pPr>
              <w:pStyle w:val="a5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E70CAA">
              <w:rPr>
                <w:sz w:val="28"/>
                <w:szCs w:val="28"/>
              </w:rPr>
              <w:t>1. У</w:t>
            </w:r>
            <w:r w:rsidR="00C6587C">
              <w:rPr>
                <w:sz w:val="28"/>
                <w:szCs w:val="28"/>
              </w:rPr>
              <w:t>становить</w:t>
            </w:r>
            <w:r w:rsidRPr="00E70CAA">
              <w:rPr>
                <w:sz w:val="28"/>
                <w:szCs w:val="28"/>
              </w:rPr>
              <w:t xml:space="preserve"> Порядок направления остатков средств областного бюджета на начало текущего финансового года в объеме, не превышающем сумму остатка не 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</w:t>
            </w:r>
            <w:r w:rsidRPr="00E70CAA">
              <w:rPr>
                <w:sz w:val="28"/>
                <w:szCs w:val="28"/>
              </w:rPr>
              <w:lastRenderedPageBreak/>
              <w:t>трансферты, на увеличение бюджетных ассигнований на предоставление указанных межбюджетных трансфертов (прилагается).</w:t>
            </w:r>
          </w:p>
          <w:p w:rsidR="000B5731" w:rsidRPr="00E70CAA" w:rsidRDefault="000B5731" w:rsidP="004A16F7">
            <w:pPr>
              <w:pStyle w:val="a5"/>
              <w:ind w:left="0" w:firstLine="709"/>
              <w:jc w:val="both"/>
              <w:rPr>
                <w:sz w:val="28"/>
                <w:szCs w:val="28"/>
              </w:rPr>
            </w:pPr>
            <w:r w:rsidRPr="00E70CAA">
              <w:rPr>
                <w:sz w:val="28"/>
                <w:szCs w:val="28"/>
              </w:rPr>
              <w:t>2. Контроль исполнения настоящего распоряжения оставляю за собой.</w:t>
            </w:r>
          </w:p>
        </w:tc>
      </w:tr>
      <w:tr w:rsidR="000B5731" w:rsidRPr="00E70CAA" w:rsidTr="004A16F7">
        <w:tc>
          <w:tcPr>
            <w:tcW w:w="9287" w:type="dxa"/>
          </w:tcPr>
          <w:p w:rsidR="000B5731" w:rsidRDefault="000B5731" w:rsidP="00C6587C">
            <w:pPr>
              <w:pStyle w:val="a5"/>
              <w:spacing w:after="0"/>
              <w:ind w:left="0" w:firstLine="709"/>
              <w:jc w:val="both"/>
              <w:rPr>
                <w:sz w:val="28"/>
                <w:szCs w:val="28"/>
              </w:rPr>
            </w:pPr>
          </w:p>
          <w:p w:rsidR="00C6587C" w:rsidRDefault="00C6587C" w:rsidP="00C6587C">
            <w:pPr>
              <w:pStyle w:val="a5"/>
              <w:spacing w:after="0"/>
              <w:ind w:left="0" w:firstLine="709"/>
              <w:jc w:val="both"/>
              <w:rPr>
                <w:sz w:val="28"/>
                <w:szCs w:val="28"/>
              </w:rPr>
            </w:pPr>
          </w:p>
          <w:p w:rsidR="00C6587C" w:rsidRPr="00E70CAA" w:rsidRDefault="00C6587C" w:rsidP="00C6587C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B5731" w:rsidRPr="00E70CAA" w:rsidRDefault="000B5731" w:rsidP="000B5731">
      <w:pPr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Заместитель Председателя </w:t>
      </w:r>
    </w:p>
    <w:p w:rsidR="000B5731" w:rsidRPr="00E70CAA" w:rsidRDefault="000B5731" w:rsidP="000B5731">
      <w:pPr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Правительства Ивановской области - </w:t>
      </w:r>
    </w:p>
    <w:p w:rsidR="000B5731" w:rsidRPr="00E70CAA" w:rsidRDefault="000B5731" w:rsidP="000B5731">
      <w:pPr>
        <w:pStyle w:val="a7"/>
        <w:spacing w:after="0"/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>директор Департамента финансов</w:t>
      </w:r>
    </w:p>
    <w:p w:rsidR="000B5731" w:rsidRPr="00E70CAA" w:rsidRDefault="000B5731" w:rsidP="000B5731">
      <w:pPr>
        <w:pStyle w:val="a7"/>
        <w:spacing w:after="0"/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Ивановской области                                                         </w:t>
      </w:r>
      <w:r w:rsidR="00C6587C">
        <w:rPr>
          <w:b/>
          <w:sz w:val="28"/>
          <w:szCs w:val="28"/>
        </w:rPr>
        <w:t xml:space="preserve">      </w:t>
      </w:r>
      <w:r w:rsidRPr="00E70CAA">
        <w:rPr>
          <w:b/>
          <w:sz w:val="28"/>
          <w:szCs w:val="28"/>
        </w:rPr>
        <w:t xml:space="preserve">           Л.В. Яковлева</w:t>
      </w:r>
    </w:p>
    <w:p w:rsidR="000B5731" w:rsidRPr="00E70CAA" w:rsidRDefault="000B5731" w:rsidP="000B5731">
      <w:pPr>
        <w:pStyle w:val="a7"/>
        <w:spacing w:after="0"/>
        <w:jc w:val="both"/>
        <w:rPr>
          <w:b/>
          <w:sz w:val="28"/>
          <w:szCs w:val="28"/>
        </w:rPr>
      </w:pPr>
    </w:p>
    <w:p w:rsidR="000B5731" w:rsidRPr="00E70CAA" w:rsidRDefault="000B5731" w:rsidP="000B5731">
      <w:pPr>
        <w:pStyle w:val="a7"/>
        <w:spacing w:after="0"/>
        <w:jc w:val="both"/>
        <w:rPr>
          <w:b/>
          <w:sz w:val="28"/>
          <w:szCs w:val="28"/>
        </w:rPr>
      </w:pPr>
    </w:p>
    <w:p w:rsidR="000B5731" w:rsidRPr="00E70CAA" w:rsidRDefault="000B5731" w:rsidP="000B5731">
      <w:pPr>
        <w:pStyle w:val="a7"/>
        <w:spacing w:after="0"/>
        <w:jc w:val="both"/>
        <w:rPr>
          <w:b/>
          <w:sz w:val="28"/>
          <w:szCs w:val="28"/>
        </w:rPr>
        <w:sectPr w:rsidR="000B5731" w:rsidRPr="00E70CAA" w:rsidSect="0017057B">
          <w:headerReference w:type="default" r:id="rId8"/>
          <w:pgSz w:w="11906" w:h="16838"/>
          <w:pgMar w:top="567" w:right="991" w:bottom="1134" w:left="1701" w:header="708" w:footer="708" w:gutter="0"/>
          <w:cols w:space="708"/>
          <w:titlePg/>
          <w:docGrid w:linePitch="360"/>
        </w:sectPr>
      </w:pPr>
    </w:p>
    <w:p w:rsidR="000B5731" w:rsidRPr="00E70CAA" w:rsidRDefault="000B5731" w:rsidP="000B5731">
      <w:pPr>
        <w:pStyle w:val="a3"/>
        <w:ind w:firstLine="5387"/>
        <w:jc w:val="right"/>
        <w:rPr>
          <w:b w:val="0"/>
        </w:rPr>
      </w:pPr>
      <w:r w:rsidRPr="00E70CAA">
        <w:rPr>
          <w:b w:val="0"/>
        </w:rPr>
        <w:lastRenderedPageBreak/>
        <w:t>Приложение</w:t>
      </w:r>
    </w:p>
    <w:p w:rsidR="000B5731" w:rsidRPr="00E70CAA" w:rsidRDefault="000B5731" w:rsidP="000B5731">
      <w:pPr>
        <w:pStyle w:val="a3"/>
        <w:ind w:firstLine="5387"/>
        <w:jc w:val="right"/>
        <w:rPr>
          <w:b w:val="0"/>
        </w:rPr>
      </w:pPr>
      <w:r w:rsidRPr="00E70CAA">
        <w:rPr>
          <w:b w:val="0"/>
        </w:rPr>
        <w:t>к распоряжению Департамента</w:t>
      </w:r>
    </w:p>
    <w:p w:rsidR="000B5731" w:rsidRPr="00E70CAA" w:rsidRDefault="000B5731" w:rsidP="000B5731">
      <w:pPr>
        <w:pStyle w:val="a3"/>
        <w:ind w:firstLine="5387"/>
        <w:jc w:val="right"/>
        <w:rPr>
          <w:b w:val="0"/>
        </w:rPr>
      </w:pPr>
      <w:r w:rsidRPr="00E70CAA">
        <w:rPr>
          <w:b w:val="0"/>
        </w:rPr>
        <w:t>финансов Ивановской области</w:t>
      </w:r>
    </w:p>
    <w:p w:rsidR="000B5731" w:rsidRPr="00E70CAA" w:rsidRDefault="000B5731" w:rsidP="000B5731">
      <w:pPr>
        <w:pStyle w:val="a3"/>
        <w:ind w:firstLine="5387"/>
        <w:jc w:val="right"/>
        <w:rPr>
          <w:b w:val="0"/>
        </w:rPr>
      </w:pPr>
      <w:r w:rsidRPr="00E70CAA">
        <w:rPr>
          <w:b w:val="0"/>
        </w:rPr>
        <w:t>от «___» _________ 2020 г. № ___</w:t>
      </w:r>
    </w:p>
    <w:p w:rsidR="000B5731" w:rsidRPr="00E70CAA" w:rsidRDefault="000B5731" w:rsidP="000B5731">
      <w:pPr>
        <w:pStyle w:val="a3"/>
        <w:ind w:firstLine="5387"/>
      </w:pPr>
    </w:p>
    <w:p w:rsidR="000B5731" w:rsidRPr="00E70CAA" w:rsidRDefault="000B5731" w:rsidP="000B5731">
      <w:pPr>
        <w:pStyle w:val="a3"/>
        <w:rPr>
          <w:sz w:val="28"/>
          <w:szCs w:val="28"/>
        </w:rPr>
      </w:pPr>
    </w:p>
    <w:p w:rsidR="000B5731" w:rsidRPr="00E70CAA" w:rsidRDefault="000B5731" w:rsidP="000B5731">
      <w:pPr>
        <w:pStyle w:val="a3"/>
        <w:rPr>
          <w:sz w:val="28"/>
          <w:szCs w:val="28"/>
        </w:rPr>
      </w:pPr>
      <w:r w:rsidRPr="00E70CAA">
        <w:rPr>
          <w:sz w:val="28"/>
          <w:szCs w:val="28"/>
        </w:rPr>
        <w:t>Порядок</w:t>
      </w:r>
    </w:p>
    <w:p w:rsidR="000B5731" w:rsidRPr="00E70CAA" w:rsidRDefault="000B5731" w:rsidP="000B5731">
      <w:pPr>
        <w:jc w:val="center"/>
        <w:rPr>
          <w:b/>
          <w:sz w:val="28"/>
        </w:rPr>
      </w:pPr>
      <w:r w:rsidRPr="00E70CAA">
        <w:rPr>
          <w:b/>
          <w:sz w:val="28"/>
          <w:szCs w:val="28"/>
        </w:rPr>
        <w:t>направления остатков средств областного бюджета на начало текущего финансового года в объеме, не превышающем сумму остатка не 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</w:t>
      </w:r>
    </w:p>
    <w:p w:rsidR="000B5731" w:rsidRPr="00E70CAA" w:rsidRDefault="000B5731" w:rsidP="000B5731">
      <w:pPr>
        <w:jc w:val="center"/>
        <w:rPr>
          <w:b/>
          <w:sz w:val="28"/>
        </w:rPr>
      </w:pPr>
    </w:p>
    <w:p w:rsidR="000B5731" w:rsidRPr="00E70CAA" w:rsidRDefault="000B5731" w:rsidP="000B5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>1. Настоящий Порядок устанавливает правила направления остатков средств областного бюджета на начало текущего финансового года в объеме, не превышающем сумму остатка не 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 (далее – Порядок).</w:t>
      </w:r>
    </w:p>
    <w:p w:rsidR="000B5731" w:rsidRPr="00E70CAA" w:rsidRDefault="000B5731" w:rsidP="000B5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>2. В целях направления указанных в пункте 1 настоящего порядка остатков средств на увеличение бюджетных ассигнований текущего года главны</w:t>
      </w:r>
      <w:r w:rsidR="00DB52C4">
        <w:rPr>
          <w:sz w:val="28"/>
          <w:szCs w:val="28"/>
        </w:rPr>
        <w:t>й</w:t>
      </w:r>
      <w:r w:rsidRPr="00E70CAA">
        <w:rPr>
          <w:sz w:val="28"/>
          <w:szCs w:val="28"/>
        </w:rPr>
        <w:t xml:space="preserve"> распорядител</w:t>
      </w:r>
      <w:r w:rsidR="00DB52C4">
        <w:rPr>
          <w:sz w:val="28"/>
          <w:szCs w:val="28"/>
        </w:rPr>
        <w:t>ь</w:t>
      </w:r>
      <w:r w:rsidRPr="00E70CAA">
        <w:rPr>
          <w:sz w:val="28"/>
          <w:szCs w:val="28"/>
        </w:rPr>
        <w:t xml:space="preserve"> средств областного бюджета представля</w:t>
      </w:r>
      <w:r w:rsidR="00DB52C4">
        <w:rPr>
          <w:sz w:val="28"/>
          <w:szCs w:val="28"/>
        </w:rPr>
        <w:t>е</w:t>
      </w:r>
      <w:r w:rsidRPr="00E70CAA">
        <w:rPr>
          <w:sz w:val="28"/>
          <w:szCs w:val="28"/>
        </w:rPr>
        <w:t xml:space="preserve">т </w:t>
      </w:r>
      <w:r w:rsidR="00AB55AC">
        <w:rPr>
          <w:sz w:val="28"/>
          <w:szCs w:val="28"/>
        </w:rPr>
        <w:t>в срок, указанный в пункте 5 настоящего П</w:t>
      </w:r>
      <w:r w:rsidR="00C6587C">
        <w:rPr>
          <w:sz w:val="28"/>
          <w:szCs w:val="28"/>
        </w:rPr>
        <w:t>орядка,</w:t>
      </w:r>
      <w:r w:rsidRPr="00E70CAA">
        <w:rPr>
          <w:sz w:val="28"/>
          <w:szCs w:val="28"/>
        </w:rPr>
        <w:t xml:space="preserve"> </w:t>
      </w:r>
      <w:r w:rsidR="00D11E06">
        <w:rPr>
          <w:sz w:val="28"/>
          <w:szCs w:val="28"/>
        </w:rPr>
        <w:t xml:space="preserve">в </w:t>
      </w:r>
      <w:r w:rsidRPr="00E70CAA">
        <w:rPr>
          <w:sz w:val="28"/>
          <w:szCs w:val="28"/>
        </w:rPr>
        <w:t>Департамент финансов Ивановской области (далее – Департамент финансов) информацию о не использованных на начало текущего финансового года бюджетных ассигнованиях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представленную в их адрес в соответствии с пунктом 3 Порядка финансовым орган</w:t>
      </w:r>
      <w:r w:rsidR="00DB52C4">
        <w:rPr>
          <w:sz w:val="28"/>
          <w:szCs w:val="28"/>
        </w:rPr>
        <w:t>о</w:t>
      </w:r>
      <w:r w:rsidRPr="00E70CAA">
        <w:rPr>
          <w:sz w:val="28"/>
          <w:szCs w:val="28"/>
        </w:rPr>
        <w:t xml:space="preserve">м муниципальных образований, необходимую для увеличения бюджетных ассигнований, предусмотренных главному распорядителю средств областного бюджета на предоставление местным бюджетам указанных межбюджетных трансфертов, предоставление </w:t>
      </w:r>
      <w:r w:rsidRPr="00E70CAA">
        <w:rPr>
          <w:sz w:val="28"/>
          <w:szCs w:val="28"/>
        </w:rPr>
        <w:lastRenderedPageBreak/>
        <w:t xml:space="preserve">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E70CAA">
        <w:rPr>
          <w:sz w:val="28"/>
          <w:szCs w:val="28"/>
        </w:rPr>
        <w:t>софинансирования</w:t>
      </w:r>
      <w:proofErr w:type="spellEnd"/>
      <w:r w:rsidRPr="00E70CAA">
        <w:rPr>
          <w:sz w:val="28"/>
          <w:szCs w:val="28"/>
        </w:rPr>
        <w:t xml:space="preserve"> остатка не 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 (далее соответственно – бюджетные ассигнования на предоставление межбюджетных трансфертов местным бюджетам, муниципальные контракты).</w:t>
      </w:r>
    </w:p>
    <w:p w:rsidR="000B5731" w:rsidRPr="00E70CAA" w:rsidRDefault="000B5731" w:rsidP="000B5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6F7">
        <w:rPr>
          <w:sz w:val="28"/>
          <w:szCs w:val="28"/>
        </w:rPr>
        <w:t xml:space="preserve">Увеличение бюджетных ассигнований текущего финансового года на предоставление межбюджетных трансфертов местным бюджетам за счет остатков не использованных бюджетных ассигнований, источником финансового обеспечения которых являлись межбюджетные трансферты, предоставленные в отчетном финансовом году из федерального бюджета бюджету Ивановской области,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осуществляется </w:t>
      </w:r>
      <w:r>
        <w:rPr>
          <w:sz w:val="28"/>
          <w:szCs w:val="28"/>
        </w:rPr>
        <w:t xml:space="preserve">с учетом согласованного объема указанного межбюджетного трансферта из федерального бюджета в соответствии с </w:t>
      </w:r>
      <w:r w:rsidRPr="004A16F7">
        <w:rPr>
          <w:sz w:val="28"/>
          <w:szCs w:val="28"/>
        </w:rPr>
        <w:t>информаци</w:t>
      </w:r>
      <w:r>
        <w:rPr>
          <w:sz w:val="28"/>
          <w:szCs w:val="28"/>
        </w:rPr>
        <w:t>ей</w:t>
      </w:r>
      <w:r w:rsidR="0059774A">
        <w:rPr>
          <w:sz w:val="28"/>
          <w:szCs w:val="28"/>
        </w:rPr>
        <w:t>, направляемой главным</w:t>
      </w:r>
      <w:r w:rsidRPr="004A16F7">
        <w:rPr>
          <w:sz w:val="28"/>
          <w:szCs w:val="28"/>
        </w:rPr>
        <w:t xml:space="preserve"> распорядителям средств федерального бюджета в порядке, установленном приказом Министерства финансов Российской Федерации от 16.12.2019 № 233н, после получения уведомления </w:t>
      </w:r>
      <w:r w:rsidR="00EB6EE9">
        <w:rPr>
          <w:sz w:val="28"/>
          <w:szCs w:val="28"/>
        </w:rPr>
        <w:t>о предоставлении субсидии, субвенции, иного межбюджетного трансферта, имеющего целевое назначение,</w:t>
      </w:r>
      <w:r w:rsidR="00EB6EE9" w:rsidRPr="000C20B1">
        <w:rPr>
          <w:sz w:val="28"/>
          <w:szCs w:val="28"/>
        </w:rPr>
        <w:t xml:space="preserve"> </w:t>
      </w:r>
      <w:r w:rsidR="00EB6EE9">
        <w:rPr>
          <w:sz w:val="28"/>
          <w:szCs w:val="28"/>
        </w:rPr>
        <w:t xml:space="preserve">направленного </w:t>
      </w:r>
      <w:r w:rsidR="00EB6EE9" w:rsidRPr="004A16F7">
        <w:rPr>
          <w:sz w:val="28"/>
          <w:szCs w:val="28"/>
        </w:rPr>
        <w:t>Министерств</w:t>
      </w:r>
      <w:r w:rsidR="00EB6EE9">
        <w:rPr>
          <w:sz w:val="28"/>
          <w:szCs w:val="28"/>
        </w:rPr>
        <w:t>ом</w:t>
      </w:r>
      <w:r w:rsidR="00EB6EE9" w:rsidRPr="004A16F7">
        <w:rPr>
          <w:sz w:val="28"/>
          <w:szCs w:val="28"/>
        </w:rPr>
        <w:t xml:space="preserve"> финансов Российской Федерации</w:t>
      </w:r>
      <w:r w:rsidR="00EB6EE9">
        <w:rPr>
          <w:sz w:val="28"/>
          <w:szCs w:val="28"/>
        </w:rPr>
        <w:t xml:space="preserve"> в соответствии с Бюджетным кодексом Российской Федерации</w:t>
      </w:r>
      <w:r>
        <w:rPr>
          <w:sz w:val="28"/>
          <w:szCs w:val="28"/>
        </w:rPr>
        <w:t>.</w:t>
      </w:r>
    </w:p>
    <w:p w:rsidR="000B5731" w:rsidRPr="004A16F7" w:rsidRDefault="000B5731" w:rsidP="000B57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0CAA">
        <w:rPr>
          <w:sz w:val="28"/>
          <w:szCs w:val="28"/>
        </w:rPr>
        <w:t xml:space="preserve">3. </w:t>
      </w:r>
      <w:r w:rsidRPr="00E70CAA">
        <w:rPr>
          <w:rFonts w:eastAsiaTheme="minorHAnsi"/>
          <w:sz w:val="28"/>
          <w:szCs w:val="28"/>
          <w:lang w:eastAsia="en-US"/>
        </w:rPr>
        <w:t>Финансовы</w:t>
      </w:r>
      <w:r w:rsidR="00DB52C4">
        <w:rPr>
          <w:rFonts w:eastAsiaTheme="minorHAnsi"/>
          <w:sz w:val="28"/>
          <w:szCs w:val="28"/>
          <w:lang w:eastAsia="en-US"/>
        </w:rPr>
        <w:t>й</w:t>
      </w:r>
      <w:r w:rsidRPr="00E70CAA">
        <w:rPr>
          <w:rFonts w:eastAsiaTheme="minorHAnsi"/>
          <w:sz w:val="28"/>
          <w:szCs w:val="28"/>
          <w:lang w:eastAsia="en-US"/>
        </w:rPr>
        <w:t xml:space="preserve"> орган муниципальн</w:t>
      </w:r>
      <w:r w:rsidR="00DB52C4">
        <w:rPr>
          <w:rFonts w:eastAsiaTheme="minorHAnsi"/>
          <w:sz w:val="28"/>
          <w:szCs w:val="28"/>
          <w:lang w:eastAsia="en-US"/>
        </w:rPr>
        <w:t>ого</w:t>
      </w:r>
      <w:r w:rsidRPr="00E70CAA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DB52C4">
        <w:rPr>
          <w:rFonts w:eastAsiaTheme="minorHAnsi"/>
          <w:sz w:val="28"/>
          <w:szCs w:val="28"/>
          <w:lang w:eastAsia="en-US"/>
        </w:rPr>
        <w:t>я</w:t>
      </w:r>
      <w:r w:rsidRPr="00E70CAA">
        <w:rPr>
          <w:rFonts w:eastAsiaTheme="minorHAnsi"/>
          <w:sz w:val="28"/>
          <w:szCs w:val="28"/>
          <w:lang w:eastAsia="en-US"/>
        </w:rPr>
        <w:t xml:space="preserve"> не позднее 1 марта текущего финансового года обеспечива</w:t>
      </w:r>
      <w:r w:rsidR="00DB52C4">
        <w:rPr>
          <w:rFonts w:eastAsiaTheme="minorHAnsi"/>
          <w:sz w:val="28"/>
          <w:szCs w:val="28"/>
          <w:lang w:eastAsia="en-US"/>
        </w:rPr>
        <w:t>е</w:t>
      </w:r>
      <w:r w:rsidRPr="00E70CAA">
        <w:rPr>
          <w:rFonts w:eastAsiaTheme="minorHAnsi"/>
          <w:sz w:val="28"/>
          <w:szCs w:val="28"/>
          <w:lang w:eastAsia="en-US"/>
        </w:rPr>
        <w:t>т формирование и представление соответствующему главному распорядителю средств областного бюджета информаци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E70CAA">
        <w:rPr>
          <w:rFonts w:eastAsiaTheme="minorHAnsi"/>
          <w:sz w:val="28"/>
          <w:szCs w:val="28"/>
          <w:lang w:eastAsia="en-US"/>
        </w:rPr>
        <w:t xml:space="preserve"> о не использованных на начало текущего финансового года </w:t>
      </w:r>
      <w:r w:rsidRPr="00E70CAA">
        <w:rPr>
          <w:sz w:val="28"/>
          <w:szCs w:val="28"/>
        </w:rPr>
        <w:t>бюджетных ассигнованиях местного бюджета на оплату муниципальных контрактов, заключенных от имени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источником финансового обеспечения которых являлись межбюджетные трансферты, имеющие целевое назначение, предоставленные из областного бюджета (далее – Информация о муниципальных контрактах) по форме приложения к Порядку.</w:t>
      </w:r>
    </w:p>
    <w:p w:rsidR="000B5731" w:rsidRPr="00E70CAA" w:rsidRDefault="000B5731" w:rsidP="000B5731">
      <w:pPr>
        <w:ind w:firstLine="709"/>
        <w:rPr>
          <w:sz w:val="28"/>
          <w:szCs w:val="28"/>
        </w:rPr>
      </w:pPr>
      <w:r w:rsidRPr="00E70CAA">
        <w:rPr>
          <w:rFonts w:eastAsiaTheme="minorHAnsi"/>
          <w:sz w:val="28"/>
          <w:szCs w:val="28"/>
          <w:lang w:eastAsia="en-US"/>
        </w:rPr>
        <w:t xml:space="preserve">4. </w:t>
      </w:r>
      <w:r w:rsidRPr="00E70CAA">
        <w:rPr>
          <w:sz w:val="28"/>
          <w:szCs w:val="28"/>
        </w:rPr>
        <w:t>В Информации о муниципальных контрактах указывается:</w:t>
      </w:r>
    </w:p>
    <w:p w:rsidR="000B5731" w:rsidRPr="00E70CAA" w:rsidRDefault="000B5731" w:rsidP="000B5731">
      <w:pPr>
        <w:ind w:firstLine="709"/>
        <w:rPr>
          <w:sz w:val="28"/>
          <w:szCs w:val="28"/>
        </w:rPr>
      </w:pPr>
      <w:r w:rsidRPr="00E70CAA">
        <w:rPr>
          <w:sz w:val="28"/>
          <w:szCs w:val="28"/>
        </w:rPr>
        <w:t>а) в заголовочной части: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>наименование финансового органа муниципального образования;</w:t>
      </w:r>
    </w:p>
    <w:p w:rsidR="000B5731" w:rsidRPr="004A16F7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F7">
        <w:rPr>
          <w:rFonts w:ascii="Times New Roman" w:hAnsi="Times New Roman" w:cs="Times New Roman"/>
          <w:sz w:val="28"/>
          <w:szCs w:val="28"/>
        </w:rPr>
        <w:lastRenderedPageBreak/>
        <w:t>наименование направления расходов областного бюджета на предоставление субсидий</w:t>
      </w:r>
      <w:r w:rsidRPr="006B5831">
        <w:rPr>
          <w:rFonts w:ascii="Times New Roman" w:hAnsi="Times New Roman" w:cs="Times New Roman"/>
          <w:sz w:val="28"/>
          <w:szCs w:val="28"/>
        </w:rPr>
        <w:t>, субвенций</w:t>
      </w:r>
      <w:r w:rsidRPr="004A16F7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трансфертов;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6F7">
        <w:rPr>
          <w:rFonts w:ascii="Times New Roman" w:hAnsi="Times New Roman" w:cs="Times New Roman"/>
          <w:sz w:val="28"/>
          <w:szCs w:val="28"/>
        </w:rPr>
        <w:t>наименование направления расходов</w:t>
      </w:r>
      <w:r w:rsidRPr="006B583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4A16F7">
        <w:rPr>
          <w:rFonts w:ascii="Times New Roman" w:hAnsi="Times New Roman" w:cs="Times New Roman"/>
          <w:sz w:val="28"/>
          <w:szCs w:val="28"/>
        </w:rPr>
        <w:t xml:space="preserve"> в рамках расходного обязательства муниципального образования</w:t>
      </w:r>
      <w:r w:rsidRPr="006B5831">
        <w:rPr>
          <w:rFonts w:ascii="Times New Roman" w:hAnsi="Times New Roman" w:cs="Times New Roman"/>
          <w:sz w:val="28"/>
          <w:szCs w:val="28"/>
        </w:rPr>
        <w:t>,</w:t>
      </w:r>
      <w:r w:rsidRPr="004A16F7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4A16F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B5831">
        <w:rPr>
          <w:rFonts w:ascii="Times New Roman" w:hAnsi="Times New Roman" w:cs="Times New Roman"/>
          <w:sz w:val="28"/>
          <w:szCs w:val="28"/>
        </w:rPr>
        <w:t xml:space="preserve"> (финансового обеспечения)</w:t>
      </w:r>
      <w:r w:rsidRPr="004A16F7">
        <w:rPr>
          <w:rFonts w:ascii="Times New Roman" w:hAnsi="Times New Roman" w:cs="Times New Roman"/>
          <w:sz w:val="28"/>
          <w:szCs w:val="28"/>
        </w:rPr>
        <w:t xml:space="preserve"> которого из областного бюджета предоставлялись субсидии</w:t>
      </w:r>
      <w:r w:rsidRPr="006B5831">
        <w:rPr>
          <w:rFonts w:ascii="Times New Roman" w:hAnsi="Times New Roman" w:cs="Times New Roman"/>
          <w:sz w:val="28"/>
          <w:szCs w:val="28"/>
        </w:rPr>
        <w:t>, субвенции</w:t>
      </w:r>
      <w:r w:rsidRPr="004A16F7">
        <w:rPr>
          <w:rFonts w:ascii="Times New Roman" w:hAnsi="Times New Roman" w:cs="Times New Roman"/>
          <w:sz w:val="28"/>
          <w:szCs w:val="28"/>
        </w:rPr>
        <w:t xml:space="preserve"> и иные межбюджетные трансферты;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областного бюджета, предоставившего соответствующий межбюджетный трансферт;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>в строке «Вид документа» - значение «первичный</w:t>
      </w:r>
      <w:r w:rsidRPr="006B58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B5831">
        <w:rPr>
          <w:rFonts w:ascii="Times New Roman" w:hAnsi="Times New Roman" w:cs="Times New Roman"/>
          <w:sz w:val="28"/>
          <w:szCs w:val="28"/>
        </w:rPr>
        <w:t xml:space="preserve">с указанием в кодовой зоне значения «0». При внесении в информацию о муниципальных контрактах изменений указывается значение «корректирующий» с указанием в кодовой зоне порядкового номера корректировки; 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 xml:space="preserve">б) в табличной части: 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 xml:space="preserve">в графах 1 – 7 – номер, дата, сумма, код классификации расходов областного бюджета в соответствии с заключенным соглашением о предоставлении из областного бюджета местному бюджету межбюджетных трансфертов (нормативным правовым актом, устанавливающим порядок (правила) предоставления межбюджетных трансфертов, в случае если указанным нормативным правовым актом не предусмотрено заключение такого соглашения); 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 xml:space="preserve">в графе 8 – неисполненный остаток бюджетного обязательства на начало текущего финансового года в соответствии с заключенным соглашением о предоставлении из областного бюджета местному бюджету межбюджетных трансфертов (нормативным правовым актом, устанавливающим порядок (правила) предоставления межбюджетных трансфертов, в случае если указанным нормативным правовым актом не предусмотрено заключение такого соглашения); 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>в графе 9 – учетный номер бюджетного обязательства по соглашению, реквизиты которого указаны в графах 1 и 2 (</w:t>
      </w:r>
      <w:r w:rsidRPr="004A16F7">
        <w:rPr>
          <w:rFonts w:ascii="Times New Roman" w:hAnsi="Times New Roman" w:cs="Times New Roman"/>
          <w:sz w:val="28"/>
          <w:szCs w:val="28"/>
        </w:rPr>
        <w:t>заполняет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A16F7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16F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A16F7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Pr="006B5831">
        <w:rPr>
          <w:rFonts w:ascii="Times New Roman" w:hAnsi="Times New Roman" w:cs="Times New Roman"/>
          <w:sz w:val="28"/>
          <w:szCs w:val="28"/>
        </w:rPr>
        <w:t>);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>в графе 10 – аналитический код цели межбюджетного трансферта, присвоенный Департаментом финансов;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 xml:space="preserve">в графах 11 и 12 – наименование получателя средств местного бюджета-муниципального заказчика и его код по Сводному реестру; 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>в графах 13 и 14 – номер и дата муниципального контракта, на основании которого принято бюджетное обязательство (в случае, если сумма муниципального контракта не превышает 300 тыс. руб.,</w:t>
      </w:r>
      <w:r w:rsidRPr="004A16F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16F7">
        <w:rPr>
          <w:rFonts w:ascii="Times New Roman" w:hAnsi="Times New Roman" w:cs="Times New Roman"/>
          <w:sz w:val="28"/>
          <w:szCs w:val="28"/>
        </w:rPr>
        <w:t>нформации</w:t>
      </w:r>
      <w:r w:rsidRPr="006B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муниципальным контрактам </w:t>
      </w:r>
      <w:r w:rsidRPr="004A16F7">
        <w:rPr>
          <w:rFonts w:ascii="Times New Roman" w:hAnsi="Times New Roman" w:cs="Times New Roman"/>
          <w:sz w:val="28"/>
          <w:szCs w:val="28"/>
        </w:rPr>
        <w:t>прилагается копия муниципального контракт</w:t>
      </w:r>
      <w:r w:rsidRPr="006B5831">
        <w:rPr>
          <w:rFonts w:ascii="Times New Roman" w:hAnsi="Times New Roman" w:cs="Times New Roman"/>
          <w:sz w:val="28"/>
          <w:szCs w:val="28"/>
        </w:rPr>
        <w:t>а);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 xml:space="preserve">в графах 15 – 18 – код классификации расходов местного бюджета, по которому в финансовом органе муниципального образования (территориальном органе Федерального казначейства) поставлены на учет бюджетные обязательства, возникшие из муниципальных контрактов; </w:t>
      </w:r>
    </w:p>
    <w:p w:rsidR="000B5731" w:rsidRPr="006B5831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t xml:space="preserve">в графе 19 – учетный номер бюджетного обязательства по муниципальному контракту, реквизиты которого указаны в графах 13 и 14; </w:t>
      </w:r>
    </w:p>
    <w:p w:rsidR="000B5731" w:rsidRPr="00E70CAA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31">
        <w:rPr>
          <w:rFonts w:ascii="Times New Roman" w:hAnsi="Times New Roman" w:cs="Times New Roman"/>
          <w:sz w:val="28"/>
          <w:szCs w:val="28"/>
        </w:rPr>
        <w:lastRenderedPageBreak/>
        <w:t>в графе 20 – сумма неисполненного остатка бюджетного обязательства по муниципальному контракту, реквизиты которого указаны в графах 13 и 14.</w:t>
      </w:r>
      <w:r w:rsidRPr="00E70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731" w:rsidRPr="00E70CAA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AA">
        <w:rPr>
          <w:rFonts w:ascii="Times New Roman" w:hAnsi="Times New Roman" w:cs="Times New Roman"/>
          <w:sz w:val="28"/>
          <w:szCs w:val="28"/>
        </w:rPr>
        <w:t>Итог по данной графе подтверждается:</w:t>
      </w:r>
    </w:p>
    <w:p w:rsidR="000B5731" w:rsidRPr="00E70CAA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AA">
        <w:rPr>
          <w:rFonts w:ascii="Times New Roman" w:hAnsi="Times New Roman" w:cs="Times New Roman"/>
          <w:sz w:val="28"/>
          <w:szCs w:val="28"/>
        </w:rPr>
        <w:t xml:space="preserve">- справкой финансового органа муниципального образования, в случае, если учет бюджетных обязательств муниципального образования не осуществляется </w:t>
      </w:r>
      <w:r w:rsidRPr="006B5831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831">
        <w:rPr>
          <w:rFonts w:ascii="Times New Roman" w:hAnsi="Times New Roman" w:cs="Times New Roman"/>
          <w:sz w:val="28"/>
          <w:szCs w:val="28"/>
        </w:rPr>
        <w:t>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5831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 w:rsidRPr="00E70CAA">
        <w:rPr>
          <w:rFonts w:ascii="Times New Roman" w:hAnsi="Times New Roman" w:cs="Times New Roman"/>
          <w:sz w:val="28"/>
          <w:szCs w:val="28"/>
        </w:rPr>
        <w:t>;</w:t>
      </w:r>
    </w:p>
    <w:p w:rsidR="000B5731" w:rsidRPr="00E70CAA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AA">
        <w:rPr>
          <w:rFonts w:ascii="Times New Roman" w:hAnsi="Times New Roman" w:cs="Times New Roman"/>
          <w:sz w:val="28"/>
          <w:szCs w:val="28"/>
        </w:rPr>
        <w:t xml:space="preserve">- копией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Pr="00E70CAA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70CAA">
        <w:rPr>
          <w:rFonts w:ascii="Times New Roman" w:hAnsi="Times New Roman" w:cs="Times New Roman"/>
          <w:sz w:val="28"/>
          <w:szCs w:val="28"/>
        </w:rPr>
        <w:t>едерального казначейства,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0CAA">
        <w:rPr>
          <w:rFonts w:ascii="Times New Roman" w:hAnsi="Times New Roman" w:cs="Times New Roman"/>
          <w:sz w:val="28"/>
          <w:szCs w:val="28"/>
        </w:rPr>
        <w:t xml:space="preserve">ставленной получателю средств местного бюджета, в случае, если учет бюджетных обязательств муниципального образования осуществляется </w:t>
      </w:r>
      <w:r w:rsidRPr="006B5831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831">
        <w:rPr>
          <w:rFonts w:ascii="Times New Roman" w:hAnsi="Times New Roman" w:cs="Times New Roman"/>
          <w:sz w:val="28"/>
          <w:szCs w:val="28"/>
        </w:rPr>
        <w:t>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5831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 w:rsidRPr="00E70CAA">
        <w:rPr>
          <w:rFonts w:ascii="Times New Roman" w:hAnsi="Times New Roman" w:cs="Times New Roman"/>
          <w:sz w:val="28"/>
          <w:szCs w:val="28"/>
        </w:rPr>
        <w:t>;</w:t>
      </w:r>
    </w:p>
    <w:p w:rsidR="000B5731" w:rsidRPr="00E70CAA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AA">
        <w:rPr>
          <w:rFonts w:ascii="Times New Roman" w:hAnsi="Times New Roman" w:cs="Times New Roman"/>
          <w:sz w:val="28"/>
          <w:szCs w:val="28"/>
        </w:rPr>
        <w:t xml:space="preserve">в графе 21 – уровень </w:t>
      </w:r>
      <w:proofErr w:type="spellStart"/>
      <w:r w:rsidRPr="00E70CA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70CAA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в соответствии с условиями предоставления межбюджетного трансферта из областного бюджета местному бюджету;</w:t>
      </w:r>
    </w:p>
    <w:p w:rsidR="000B5731" w:rsidRPr="00E70CAA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AA">
        <w:rPr>
          <w:rFonts w:ascii="Times New Roman" w:hAnsi="Times New Roman" w:cs="Times New Roman"/>
          <w:sz w:val="28"/>
          <w:szCs w:val="28"/>
        </w:rPr>
        <w:t xml:space="preserve">в графе 22 – сумма, в пределах которой получателю средств местного бюджета могут быть увеличены бюджетные ассигнования текущего финансового года, рассчитанная как произведение значения графы 20 на значение уровня </w:t>
      </w:r>
      <w:proofErr w:type="spellStart"/>
      <w:r w:rsidRPr="00E70CA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70CAA">
        <w:rPr>
          <w:rFonts w:ascii="Times New Roman" w:hAnsi="Times New Roman" w:cs="Times New Roman"/>
          <w:sz w:val="28"/>
          <w:szCs w:val="28"/>
        </w:rPr>
        <w:t xml:space="preserve">, указанного в графе 21 (деленное на 100). </w:t>
      </w:r>
    </w:p>
    <w:p w:rsidR="000B5731" w:rsidRPr="00E70CAA" w:rsidRDefault="000B5731" w:rsidP="000B573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AA">
        <w:rPr>
          <w:rFonts w:ascii="Times New Roman" w:hAnsi="Times New Roman" w:cs="Times New Roman"/>
          <w:sz w:val="28"/>
          <w:szCs w:val="28"/>
        </w:rPr>
        <w:t>в) сумма, указанная в графе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0CAA">
        <w:rPr>
          <w:rFonts w:ascii="Times New Roman" w:hAnsi="Times New Roman" w:cs="Times New Roman"/>
          <w:sz w:val="28"/>
          <w:szCs w:val="28"/>
        </w:rPr>
        <w:t xml:space="preserve"> Информации о муниципальных контрактах не должна превышать сумму, указанную в графе 8 Информации о муниципальных контрактах. </w:t>
      </w:r>
    </w:p>
    <w:p w:rsidR="000B5731" w:rsidRPr="005E1D36" w:rsidRDefault="000B5731" w:rsidP="000B5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1D36">
        <w:rPr>
          <w:sz w:val="28"/>
          <w:szCs w:val="28"/>
        </w:rPr>
        <w:t>. Главны</w:t>
      </w:r>
      <w:r w:rsidR="00DB52C4">
        <w:rPr>
          <w:sz w:val="28"/>
          <w:szCs w:val="28"/>
        </w:rPr>
        <w:t>й распорядитель</w:t>
      </w:r>
      <w:r w:rsidRPr="005E1D36">
        <w:rPr>
          <w:sz w:val="28"/>
          <w:szCs w:val="28"/>
        </w:rPr>
        <w:t xml:space="preserve"> средств областного бюджета в течение пяти рабочих дней со дня получения</w:t>
      </w:r>
      <w:r>
        <w:rPr>
          <w:sz w:val="28"/>
          <w:szCs w:val="28"/>
        </w:rPr>
        <w:t xml:space="preserve"> от финансового органа муниципального образования</w:t>
      </w:r>
      <w:r w:rsidRPr="005E1D3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о муниципальных контрактах (получения уведомления о предоставлении субсидии, субвенции, иного межбюджетного трансферта, имеющего целевое назначение,</w:t>
      </w:r>
      <w:r w:rsidR="000C20B1" w:rsidRPr="000C20B1">
        <w:rPr>
          <w:sz w:val="28"/>
          <w:szCs w:val="28"/>
        </w:rPr>
        <w:t xml:space="preserve"> </w:t>
      </w:r>
      <w:r w:rsidR="000C20B1">
        <w:rPr>
          <w:sz w:val="28"/>
          <w:szCs w:val="28"/>
        </w:rPr>
        <w:t xml:space="preserve">направленного </w:t>
      </w:r>
      <w:r w:rsidR="000C20B1" w:rsidRPr="004A16F7">
        <w:rPr>
          <w:sz w:val="28"/>
          <w:szCs w:val="28"/>
        </w:rPr>
        <w:t>Министерств</w:t>
      </w:r>
      <w:r w:rsidR="000C20B1">
        <w:rPr>
          <w:sz w:val="28"/>
          <w:szCs w:val="28"/>
        </w:rPr>
        <w:t>ом</w:t>
      </w:r>
      <w:r w:rsidR="000C20B1" w:rsidRPr="004A16F7">
        <w:rPr>
          <w:sz w:val="28"/>
          <w:szCs w:val="28"/>
        </w:rPr>
        <w:t xml:space="preserve"> финансов Российской Федерации</w:t>
      </w:r>
      <w:r w:rsidR="000C20B1">
        <w:rPr>
          <w:sz w:val="28"/>
          <w:szCs w:val="28"/>
        </w:rPr>
        <w:t xml:space="preserve"> в соответствии с Бюджетным кодексом Российской Федерации,</w:t>
      </w:r>
      <w:r>
        <w:rPr>
          <w:sz w:val="28"/>
          <w:szCs w:val="28"/>
        </w:rPr>
        <w:t xml:space="preserve"> на сумму подтвержденного остатка неиспользованных бюджетных ассигнований областного бюджета, источником финансового обеспечения которых являлись </w:t>
      </w:r>
      <w:r w:rsidRPr="006B1890">
        <w:rPr>
          <w:sz w:val="28"/>
          <w:szCs w:val="28"/>
        </w:rPr>
        <w:t>межбюджетные трансферты, предоставленные в отчетном финансовом году из федерального бюджета бюджету Ивановской области</w:t>
      </w:r>
      <w:r>
        <w:rPr>
          <w:sz w:val="28"/>
          <w:szCs w:val="28"/>
        </w:rPr>
        <w:t xml:space="preserve">) </w:t>
      </w:r>
      <w:r w:rsidR="000A113E">
        <w:rPr>
          <w:sz w:val="28"/>
          <w:szCs w:val="28"/>
        </w:rPr>
        <w:t xml:space="preserve">в случае отсутствия замечаний и предложений </w:t>
      </w:r>
      <w:r w:rsidRPr="005E1D36">
        <w:rPr>
          <w:sz w:val="28"/>
          <w:szCs w:val="28"/>
        </w:rPr>
        <w:t>формиру</w:t>
      </w:r>
      <w:r w:rsidR="00DB52C4">
        <w:rPr>
          <w:sz w:val="28"/>
          <w:szCs w:val="28"/>
        </w:rPr>
        <w:t>е</w:t>
      </w:r>
      <w:r w:rsidRPr="005E1D36">
        <w:rPr>
          <w:sz w:val="28"/>
          <w:szCs w:val="28"/>
        </w:rPr>
        <w:t xml:space="preserve">т на ее </w:t>
      </w:r>
      <w:r>
        <w:rPr>
          <w:sz w:val="28"/>
          <w:szCs w:val="28"/>
        </w:rPr>
        <w:t xml:space="preserve">(его) </w:t>
      </w:r>
      <w:r w:rsidRPr="005E1D36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>и направля</w:t>
      </w:r>
      <w:r w:rsidR="00DB52C4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7670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E1D36">
        <w:rPr>
          <w:sz w:val="28"/>
          <w:szCs w:val="28"/>
        </w:rPr>
        <w:t xml:space="preserve"> Департамент финансов в соответствии с Порядком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внутреннего финансирования дефицита областного бюджета), а также утверждения лимитов бюджетных обязательств для главных распорядителей средств областного бюджета, утвержденным распоряжением Департамента финансов от 28.12.2015 № 277</w:t>
      </w:r>
      <w:r w:rsidR="00430FCE">
        <w:rPr>
          <w:sz w:val="28"/>
          <w:szCs w:val="28"/>
        </w:rPr>
        <w:t xml:space="preserve"> (далее – Порядок по сводной бюджетной росписи)</w:t>
      </w:r>
      <w:r w:rsidRPr="005E1D36">
        <w:rPr>
          <w:sz w:val="28"/>
          <w:szCs w:val="28"/>
        </w:rPr>
        <w:t>, предложения о внесении изменений в сводную бюджетную роспись областного бюджета в части увеличения бюджетных ассигнований на предоставление межбюджетных трансфертов бюджетам муниципальных образований</w:t>
      </w:r>
      <w:r w:rsidR="000C20B1">
        <w:rPr>
          <w:sz w:val="28"/>
          <w:szCs w:val="28"/>
        </w:rPr>
        <w:t xml:space="preserve"> </w:t>
      </w:r>
      <w:r w:rsidR="000C20B1" w:rsidRPr="00583EF7">
        <w:rPr>
          <w:sz w:val="28"/>
          <w:szCs w:val="28"/>
        </w:rPr>
        <w:t>в объеме, не превышающем остатка не использованных ассигнований отчетного финансового года на указанные цели</w:t>
      </w:r>
      <w:r w:rsidR="000C20B1" w:rsidRPr="002E78A9">
        <w:rPr>
          <w:sz w:val="28"/>
          <w:szCs w:val="28"/>
        </w:rPr>
        <w:t xml:space="preserve"> в размере, не превышающем с учетом уровня </w:t>
      </w:r>
      <w:proofErr w:type="spellStart"/>
      <w:r w:rsidR="000C20B1" w:rsidRPr="002E78A9">
        <w:rPr>
          <w:sz w:val="28"/>
          <w:szCs w:val="28"/>
        </w:rPr>
        <w:t>софинансирования</w:t>
      </w:r>
      <w:proofErr w:type="spellEnd"/>
      <w:r w:rsidR="000C20B1" w:rsidRPr="002E78A9">
        <w:rPr>
          <w:sz w:val="28"/>
          <w:szCs w:val="28"/>
        </w:rPr>
        <w:t xml:space="preserve"> остатка не 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</w:t>
      </w:r>
      <w:r w:rsidR="000C20B1">
        <w:rPr>
          <w:sz w:val="28"/>
          <w:szCs w:val="28"/>
        </w:rPr>
        <w:t xml:space="preserve">, </w:t>
      </w:r>
      <w:r w:rsidR="000C20B1" w:rsidRPr="002E78A9">
        <w:rPr>
          <w:sz w:val="28"/>
          <w:szCs w:val="28"/>
        </w:rPr>
        <w:t>подлежа</w:t>
      </w:r>
      <w:r w:rsidR="000C20B1">
        <w:rPr>
          <w:sz w:val="28"/>
          <w:szCs w:val="28"/>
        </w:rPr>
        <w:t>вших</w:t>
      </w:r>
      <w:r w:rsidR="000C20B1" w:rsidRPr="002E78A9">
        <w:rPr>
          <w:sz w:val="28"/>
          <w:szCs w:val="28"/>
        </w:rPr>
        <w:t xml:space="preserve"> в соответствии с условиями этих муниципальных контрактов оплате в отчетном финансовом году</w:t>
      </w:r>
      <w:r w:rsidR="00AB55AC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5E1D36">
        <w:rPr>
          <w:sz w:val="28"/>
          <w:szCs w:val="28"/>
        </w:rPr>
        <w:t>Информаци</w:t>
      </w:r>
      <w:r w:rsidR="000C20B1">
        <w:rPr>
          <w:sz w:val="28"/>
          <w:szCs w:val="28"/>
        </w:rPr>
        <w:t>ю</w:t>
      </w:r>
      <w:r w:rsidRPr="005E1D36">
        <w:rPr>
          <w:sz w:val="28"/>
          <w:szCs w:val="28"/>
        </w:rPr>
        <w:t xml:space="preserve"> о муниципальных контрактах</w:t>
      </w:r>
      <w:r>
        <w:rPr>
          <w:sz w:val="28"/>
          <w:szCs w:val="28"/>
        </w:rPr>
        <w:t>.</w:t>
      </w:r>
    </w:p>
    <w:p w:rsidR="000B5731" w:rsidRPr="005E1D36" w:rsidRDefault="000B5731" w:rsidP="000B5731">
      <w:pPr>
        <w:ind w:firstLine="709"/>
        <w:jc w:val="both"/>
        <w:rPr>
          <w:sz w:val="28"/>
          <w:szCs w:val="28"/>
        </w:rPr>
      </w:pPr>
      <w:r w:rsidRPr="005E1D36">
        <w:rPr>
          <w:sz w:val="28"/>
          <w:szCs w:val="28"/>
        </w:rPr>
        <w:t xml:space="preserve">В случае наличия замечаний и предложений </w:t>
      </w:r>
      <w:r w:rsidR="000A113E">
        <w:rPr>
          <w:sz w:val="28"/>
          <w:szCs w:val="28"/>
        </w:rPr>
        <w:t xml:space="preserve">на предмет полноты и обоснованности данных, содержащихся в </w:t>
      </w:r>
      <w:r w:rsidR="000A113E" w:rsidRPr="005E1D36">
        <w:rPr>
          <w:sz w:val="28"/>
          <w:szCs w:val="28"/>
        </w:rPr>
        <w:t>Информаци</w:t>
      </w:r>
      <w:r w:rsidR="000A113E">
        <w:rPr>
          <w:sz w:val="28"/>
          <w:szCs w:val="28"/>
        </w:rPr>
        <w:t>и</w:t>
      </w:r>
      <w:r w:rsidR="000A113E" w:rsidRPr="005E1D36">
        <w:rPr>
          <w:sz w:val="28"/>
          <w:szCs w:val="28"/>
        </w:rPr>
        <w:t xml:space="preserve"> о муниципальных контрактах</w:t>
      </w:r>
      <w:r w:rsidR="000A113E">
        <w:rPr>
          <w:sz w:val="28"/>
          <w:szCs w:val="28"/>
        </w:rPr>
        <w:t>,</w:t>
      </w:r>
      <w:r w:rsidR="000A113E" w:rsidRPr="005E1D36">
        <w:rPr>
          <w:sz w:val="28"/>
          <w:szCs w:val="28"/>
        </w:rPr>
        <w:t xml:space="preserve"> </w:t>
      </w:r>
      <w:r w:rsidRPr="005E1D36">
        <w:rPr>
          <w:sz w:val="28"/>
          <w:szCs w:val="28"/>
        </w:rPr>
        <w:t>главны</w:t>
      </w:r>
      <w:r w:rsidR="00DB52C4">
        <w:rPr>
          <w:sz w:val="28"/>
          <w:szCs w:val="28"/>
        </w:rPr>
        <w:t>й</w:t>
      </w:r>
      <w:r w:rsidRPr="005E1D36">
        <w:rPr>
          <w:sz w:val="28"/>
          <w:szCs w:val="28"/>
        </w:rPr>
        <w:t xml:space="preserve"> распорядител</w:t>
      </w:r>
      <w:r w:rsidR="00DB52C4">
        <w:rPr>
          <w:sz w:val="28"/>
          <w:szCs w:val="28"/>
        </w:rPr>
        <w:t>ь</w:t>
      </w:r>
      <w:r w:rsidRPr="005E1D36">
        <w:rPr>
          <w:sz w:val="28"/>
          <w:szCs w:val="28"/>
        </w:rPr>
        <w:t xml:space="preserve"> средств областного бюджета направля</w:t>
      </w:r>
      <w:r w:rsidR="00DB52C4">
        <w:rPr>
          <w:sz w:val="28"/>
          <w:szCs w:val="28"/>
        </w:rPr>
        <w:t>е</w:t>
      </w:r>
      <w:r w:rsidRPr="005E1D36">
        <w:rPr>
          <w:sz w:val="28"/>
          <w:szCs w:val="28"/>
        </w:rPr>
        <w:t xml:space="preserve">т в </w:t>
      </w:r>
      <w:r w:rsidRPr="005E1D36">
        <w:rPr>
          <w:rFonts w:eastAsiaTheme="minorHAnsi"/>
          <w:sz w:val="28"/>
          <w:szCs w:val="28"/>
          <w:lang w:eastAsia="en-US"/>
        </w:rPr>
        <w:t>финансовы</w:t>
      </w:r>
      <w:r w:rsidR="00DB52C4">
        <w:rPr>
          <w:rFonts w:eastAsiaTheme="minorHAnsi"/>
          <w:sz w:val="28"/>
          <w:szCs w:val="28"/>
          <w:lang w:eastAsia="en-US"/>
        </w:rPr>
        <w:t>й</w:t>
      </w:r>
      <w:r w:rsidRPr="005E1D36">
        <w:rPr>
          <w:rFonts w:eastAsiaTheme="minorHAnsi"/>
          <w:sz w:val="28"/>
          <w:szCs w:val="28"/>
          <w:lang w:eastAsia="en-US"/>
        </w:rPr>
        <w:t xml:space="preserve"> орган муниципальн</w:t>
      </w:r>
      <w:r w:rsidR="00DB52C4">
        <w:rPr>
          <w:rFonts w:eastAsiaTheme="minorHAnsi"/>
          <w:sz w:val="28"/>
          <w:szCs w:val="28"/>
          <w:lang w:eastAsia="en-US"/>
        </w:rPr>
        <w:t>ого</w:t>
      </w:r>
      <w:r w:rsidRPr="005E1D36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DB52C4">
        <w:rPr>
          <w:rFonts w:eastAsiaTheme="minorHAnsi"/>
          <w:sz w:val="28"/>
          <w:szCs w:val="28"/>
          <w:lang w:eastAsia="en-US"/>
        </w:rPr>
        <w:t>я</w:t>
      </w:r>
      <w:r w:rsidRPr="005E1D36">
        <w:rPr>
          <w:rFonts w:eastAsiaTheme="minorHAnsi"/>
          <w:sz w:val="28"/>
          <w:szCs w:val="28"/>
          <w:lang w:eastAsia="en-US"/>
        </w:rPr>
        <w:t xml:space="preserve"> </w:t>
      </w:r>
      <w:r w:rsidRPr="005E1D36">
        <w:rPr>
          <w:sz w:val="28"/>
          <w:szCs w:val="28"/>
        </w:rPr>
        <w:t>уведомление об отклонении Информации о муниципальных контрактах с указанием причины отклонения.</w:t>
      </w:r>
    </w:p>
    <w:p w:rsidR="000B5731" w:rsidRPr="00430FCE" w:rsidRDefault="000A113E" w:rsidP="00430FCE">
      <w:pPr>
        <w:pStyle w:val="ac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5731" w:rsidRPr="00E70CAA">
        <w:rPr>
          <w:rFonts w:ascii="Times New Roman" w:hAnsi="Times New Roman" w:cs="Times New Roman"/>
          <w:sz w:val="28"/>
          <w:szCs w:val="28"/>
        </w:rPr>
        <w:t>. Департамен</w:t>
      </w:r>
      <w:r w:rsidR="00430FCE">
        <w:rPr>
          <w:rFonts w:ascii="Times New Roman" w:hAnsi="Times New Roman" w:cs="Times New Roman"/>
          <w:sz w:val="28"/>
          <w:szCs w:val="28"/>
        </w:rPr>
        <w:t>т финансов в течение</w:t>
      </w:r>
      <w:r w:rsidR="000B5731" w:rsidRPr="00E70CAA">
        <w:rPr>
          <w:rFonts w:ascii="Times New Roman" w:hAnsi="Times New Roman" w:cs="Times New Roman"/>
          <w:sz w:val="28"/>
          <w:szCs w:val="28"/>
        </w:rPr>
        <w:t xml:space="preserve"> </w:t>
      </w:r>
      <w:r w:rsidR="00253F57">
        <w:rPr>
          <w:rFonts w:ascii="Times New Roman" w:hAnsi="Times New Roman" w:cs="Times New Roman"/>
          <w:sz w:val="28"/>
          <w:szCs w:val="28"/>
        </w:rPr>
        <w:t>5</w:t>
      </w:r>
      <w:r w:rsidR="00430FC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B5731" w:rsidRPr="00E70CAA">
        <w:rPr>
          <w:rFonts w:ascii="Times New Roman" w:hAnsi="Times New Roman" w:cs="Times New Roman"/>
          <w:sz w:val="28"/>
          <w:szCs w:val="28"/>
        </w:rPr>
        <w:t xml:space="preserve"> дней рассматривает представленную главным распорядител</w:t>
      </w:r>
      <w:r w:rsidR="00DB52C4">
        <w:rPr>
          <w:rFonts w:ascii="Times New Roman" w:hAnsi="Times New Roman" w:cs="Times New Roman"/>
          <w:sz w:val="28"/>
          <w:szCs w:val="28"/>
        </w:rPr>
        <w:t>е</w:t>
      </w:r>
      <w:r w:rsidR="000B5731" w:rsidRPr="00E70CAA">
        <w:rPr>
          <w:rFonts w:ascii="Times New Roman" w:hAnsi="Times New Roman" w:cs="Times New Roman"/>
          <w:sz w:val="28"/>
          <w:szCs w:val="28"/>
        </w:rPr>
        <w:t xml:space="preserve">м средств областного бюджета </w:t>
      </w:r>
      <w:r w:rsidR="000B5731">
        <w:rPr>
          <w:rFonts w:ascii="Times New Roman" w:hAnsi="Times New Roman" w:cs="Times New Roman"/>
          <w:sz w:val="28"/>
          <w:szCs w:val="28"/>
        </w:rPr>
        <w:t>И</w:t>
      </w:r>
      <w:r w:rsidR="000B5731" w:rsidRPr="00E70CAA">
        <w:rPr>
          <w:rFonts w:ascii="Times New Roman" w:hAnsi="Times New Roman" w:cs="Times New Roman"/>
          <w:sz w:val="28"/>
          <w:szCs w:val="28"/>
        </w:rPr>
        <w:t>нформацию</w:t>
      </w:r>
      <w:r w:rsidR="000B5731">
        <w:rPr>
          <w:rFonts w:ascii="Times New Roman" w:hAnsi="Times New Roman" w:cs="Times New Roman"/>
          <w:sz w:val="28"/>
          <w:szCs w:val="28"/>
        </w:rPr>
        <w:t xml:space="preserve"> о муниципальных контрактах и предложения, указанные </w:t>
      </w:r>
      <w:r w:rsidR="000B5731" w:rsidRPr="00583EF7"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0B573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B5731" w:rsidRPr="00CB2844">
        <w:rPr>
          <w:rFonts w:ascii="Times New Roman" w:hAnsi="Times New Roman" w:cs="Times New Roman"/>
          <w:sz w:val="28"/>
          <w:szCs w:val="28"/>
        </w:rPr>
        <w:t>Порядка</w:t>
      </w:r>
      <w:r w:rsidR="000B5731">
        <w:rPr>
          <w:rFonts w:ascii="Times New Roman" w:hAnsi="Times New Roman" w:cs="Times New Roman"/>
          <w:sz w:val="28"/>
          <w:szCs w:val="28"/>
        </w:rPr>
        <w:t>, и</w:t>
      </w:r>
      <w:r w:rsidR="00430FCE">
        <w:rPr>
          <w:rFonts w:ascii="Times New Roman" w:hAnsi="Times New Roman" w:cs="Times New Roman"/>
          <w:sz w:val="28"/>
          <w:szCs w:val="28"/>
        </w:rPr>
        <w:t xml:space="preserve"> </w:t>
      </w:r>
      <w:r w:rsidR="000B5731" w:rsidRPr="00583EF7">
        <w:rPr>
          <w:rFonts w:ascii="Times New Roman" w:hAnsi="Times New Roman" w:cs="Times New Roman"/>
          <w:sz w:val="28"/>
          <w:szCs w:val="28"/>
        </w:rPr>
        <w:t xml:space="preserve">в </w:t>
      </w:r>
      <w:r w:rsidR="002242E4">
        <w:rPr>
          <w:rFonts w:ascii="Times New Roman" w:hAnsi="Times New Roman" w:cs="Times New Roman"/>
          <w:sz w:val="28"/>
          <w:szCs w:val="28"/>
        </w:rPr>
        <w:t>соответствии с Порядком по сводной бюджетной росписи</w:t>
      </w:r>
      <w:r w:rsidR="000B5731" w:rsidRPr="00583EF7">
        <w:rPr>
          <w:rFonts w:ascii="Times New Roman" w:hAnsi="Times New Roman" w:cs="Times New Roman"/>
          <w:sz w:val="28"/>
          <w:szCs w:val="28"/>
        </w:rPr>
        <w:t xml:space="preserve"> </w:t>
      </w:r>
      <w:r w:rsidR="002242E4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0B5731" w:rsidRPr="00583EF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B5731" w:rsidRPr="004A16F7">
        <w:rPr>
          <w:rFonts w:ascii="Times New Roman" w:hAnsi="Times New Roman" w:cs="Times New Roman"/>
          <w:sz w:val="28"/>
          <w:szCs w:val="28"/>
        </w:rPr>
        <w:t>в сводную бюджетную роспись областного бюджета в части увеличения бюджетных ассигнований на предоставление межбюджетных трансфертов бюджетам муниципальных образований</w:t>
      </w:r>
      <w:r w:rsidR="000B5731">
        <w:rPr>
          <w:rFonts w:ascii="Times New Roman" w:hAnsi="Times New Roman" w:cs="Times New Roman"/>
          <w:sz w:val="28"/>
          <w:szCs w:val="28"/>
        </w:rPr>
        <w:t xml:space="preserve"> </w:t>
      </w:r>
      <w:r w:rsidR="000B5731" w:rsidRPr="00583EF7">
        <w:rPr>
          <w:rFonts w:ascii="Times New Roman" w:hAnsi="Times New Roman" w:cs="Times New Roman"/>
          <w:sz w:val="28"/>
          <w:szCs w:val="28"/>
        </w:rPr>
        <w:t>в объеме, не превышающем остатка не использованных ассигнований отчетного финансового года на указанные цели</w:t>
      </w:r>
      <w:r w:rsidR="000B5731" w:rsidRPr="002E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731" w:rsidRPr="002E78A9">
        <w:rPr>
          <w:rFonts w:ascii="Times New Roman" w:hAnsi="Times New Roman" w:cs="Times New Roman"/>
          <w:sz w:val="28"/>
          <w:szCs w:val="28"/>
        </w:rPr>
        <w:t xml:space="preserve">в размере, не превышающем с учетом уровня </w:t>
      </w:r>
      <w:proofErr w:type="spellStart"/>
      <w:r w:rsidR="000B5731" w:rsidRPr="002E78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B5731" w:rsidRPr="002E78A9">
        <w:rPr>
          <w:rFonts w:ascii="Times New Roman" w:hAnsi="Times New Roman" w:cs="Times New Roman"/>
          <w:sz w:val="28"/>
          <w:szCs w:val="28"/>
        </w:rPr>
        <w:t xml:space="preserve"> остатка не 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</w:t>
      </w:r>
      <w:r w:rsidR="000B5731">
        <w:rPr>
          <w:rFonts w:ascii="Times New Roman" w:hAnsi="Times New Roman" w:cs="Times New Roman"/>
          <w:sz w:val="28"/>
          <w:szCs w:val="28"/>
        </w:rPr>
        <w:t xml:space="preserve">, </w:t>
      </w:r>
      <w:r w:rsidR="000B5731" w:rsidRPr="002E78A9">
        <w:rPr>
          <w:rFonts w:ascii="Times New Roman" w:hAnsi="Times New Roman" w:cs="Times New Roman"/>
          <w:sz w:val="28"/>
          <w:szCs w:val="28"/>
        </w:rPr>
        <w:t>подлежа</w:t>
      </w:r>
      <w:r w:rsidR="000B5731">
        <w:rPr>
          <w:rFonts w:ascii="Times New Roman" w:hAnsi="Times New Roman" w:cs="Times New Roman"/>
          <w:sz w:val="28"/>
          <w:szCs w:val="28"/>
        </w:rPr>
        <w:t>вших</w:t>
      </w:r>
      <w:r w:rsidR="000B5731" w:rsidRPr="002E78A9">
        <w:rPr>
          <w:rFonts w:ascii="Times New Roman" w:hAnsi="Times New Roman" w:cs="Times New Roman"/>
          <w:sz w:val="28"/>
          <w:szCs w:val="28"/>
        </w:rPr>
        <w:t xml:space="preserve"> в соответствии с условиями этих муниципальных контрактов оплате в отчетном финансовом году</w:t>
      </w:r>
      <w:r w:rsidR="000B5731" w:rsidRPr="004A16F7">
        <w:rPr>
          <w:rFonts w:ascii="Times New Roman" w:hAnsi="Times New Roman" w:cs="Times New Roman"/>
          <w:sz w:val="28"/>
          <w:szCs w:val="28"/>
        </w:rPr>
        <w:t>.</w:t>
      </w:r>
    </w:p>
    <w:p w:rsidR="000B5731" w:rsidRPr="00E70CAA" w:rsidRDefault="000B5731" w:rsidP="000B57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B5731" w:rsidRPr="00E70CAA" w:rsidRDefault="000B5731" w:rsidP="000B5731">
      <w:pPr>
        <w:ind w:firstLine="709"/>
        <w:jc w:val="both"/>
        <w:rPr>
          <w:b/>
          <w:sz w:val="28"/>
          <w:szCs w:val="28"/>
        </w:rPr>
      </w:pPr>
    </w:p>
    <w:p w:rsidR="000B5731" w:rsidRPr="00E70CAA" w:rsidRDefault="000B5731" w:rsidP="000B5731">
      <w:pPr>
        <w:ind w:firstLine="709"/>
        <w:jc w:val="both"/>
        <w:rPr>
          <w:b/>
          <w:sz w:val="28"/>
          <w:szCs w:val="28"/>
        </w:rPr>
        <w:sectPr w:rsidR="000B5731" w:rsidRPr="00E70CAA" w:rsidSect="0017057B">
          <w:pgSz w:w="11906" w:h="16838"/>
          <w:pgMar w:top="1134" w:right="991" w:bottom="993" w:left="1701" w:header="708" w:footer="708" w:gutter="0"/>
          <w:cols w:space="708"/>
          <w:docGrid w:linePitch="360"/>
        </w:sectPr>
      </w:pPr>
    </w:p>
    <w:p w:rsidR="000B5731" w:rsidRPr="00D11E06" w:rsidRDefault="000B5731" w:rsidP="00A95616">
      <w:pPr>
        <w:pStyle w:val="ac"/>
        <w:ind w:left="7788" w:right="536" w:firstLine="708"/>
        <w:rPr>
          <w:rFonts w:ascii="Times New Roman" w:hAnsi="Times New Roman" w:cs="Times New Roman"/>
          <w:sz w:val="18"/>
          <w:szCs w:val="18"/>
        </w:rPr>
      </w:pPr>
      <w:r w:rsidRPr="00D11E06">
        <w:rPr>
          <w:rFonts w:ascii="Times New Roman" w:hAnsi="Times New Roman" w:cs="Times New Roman"/>
          <w:sz w:val="18"/>
          <w:szCs w:val="18"/>
        </w:rPr>
        <w:t>Приложение к Порядку</w:t>
      </w:r>
      <w:r w:rsidR="00D11E06" w:rsidRPr="00D11E06">
        <w:rPr>
          <w:rFonts w:ascii="Times New Roman" w:hAnsi="Times New Roman" w:cs="Times New Roman"/>
          <w:sz w:val="18"/>
          <w:szCs w:val="18"/>
        </w:rPr>
        <w:t xml:space="preserve"> направления остатков средств областного бюджета на начало </w:t>
      </w:r>
      <w:bookmarkStart w:id="0" w:name="_GoBack"/>
      <w:bookmarkEnd w:id="0"/>
      <w:r w:rsidR="00D11E06" w:rsidRPr="00D11E06">
        <w:rPr>
          <w:rFonts w:ascii="Times New Roman" w:hAnsi="Times New Roman" w:cs="Times New Roman"/>
          <w:sz w:val="18"/>
          <w:szCs w:val="18"/>
        </w:rPr>
        <w:t>текущего финансового года в объеме, не превышающем сумму остатка не 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</w:t>
      </w:r>
    </w:p>
    <w:p w:rsidR="000B5731" w:rsidRPr="00E70CAA" w:rsidRDefault="000B5731" w:rsidP="000B5731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B5731" w:rsidRPr="00E70CAA" w:rsidRDefault="000B5731" w:rsidP="000B5731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0CAA">
        <w:rPr>
          <w:rFonts w:ascii="Times New Roman" w:hAnsi="Times New Roman" w:cs="Times New Roman"/>
          <w:b/>
          <w:sz w:val="18"/>
          <w:szCs w:val="18"/>
        </w:rPr>
        <w:t>ИНФОРМАЦИЯ</w:t>
      </w:r>
    </w:p>
    <w:p w:rsidR="000B5731" w:rsidRPr="00E70CAA" w:rsidRDefault="000B5731" w:rsidP="000B5731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0CAA">
        <w:rPr>
          <w:rFonts w:ascii="Times New Roman" w:hAnsi="Times New Roman" w:cs="Times New Roman"/>
          <w:b/>
          <w:sz w:val="18"/>
          <w:szCs w:val="18"/>
        </w:rPr>
        <w:t>о неиспользованных на начало текущего финансового года бюджетных ассигнованиях местного бюджета на оплату муниципальных контрактов, заключенных от имени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очередном финансовом году, источником финансового обеспечения которых являлись субсидии</w:t>
      </w:r>
      <w:r>
        <w:rPr>
          <w:rFonts w:ascii="Times New Roman" w:hAnsi="Times New Roman" w:cs="Times New Roman"/>
          <w:b/>
          <w:sz w:val="18"/>
          <w:szCs w:val="18"/>
        </w:rPr>
        <w:t>, субвенции</w:t>
      </w:r>
      <w:r w:rsidRPr="00E70CAA">
        <w:rPr>
          <w:rFonts w:ascii="Times New Roman" w:hAnsi="Times New Roman" w:cs="Times New Roman"/>
          <w:b/>
          <w:sz w:val="18"/>
          <w:szCs w:val="18"/>
        </w:rPr>
        <w:t xml:space="preserve"> и иные межбюджетные трансферты, предоставленные из областного бюджета бюджету муниципального образования в целях </w:t>
      </w:r>
      <w:proofErr w:type="spellStart"/>
      <w:r w:rsidRPr="00E70CAA">
        <w:rPr>
          <w:rFonts w:ascii="Times New Roman" w:hAnsi="Times New Roman" w:cs="Times New Roman"/>
          <w:b/>
          <w:sz w:val="18"/>
          <w:szCs w:val="18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(финансового обеспечения)</w:t>
      </w:r>
      <w:r w:rsidRPr="00E70CAA">
        <w:rPr>
          <w:rFonts w:ascii="Times New Roman" w:hAnsi="Times New Roman" w:cs="Times New Roman"/>
          <w:b/>
          <w:sz w:val="18"/>
          <w:szCs w:val="18"/>
        </w:rPr>
        <w:t xml:space="preserve"> исполнения расходных обязательств муниципального образования </w:t>
      </w:r>
    </w:p>
    <w:p w:rsidR="000B5731" w:rsidRPr="00E70CAA" w:rsidRDefault="000B5731" w:rsidP="000B5731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70CAA">
        <w:rPr>
          <w:rFonts w:ascii="Times New Roman" w:hAnsi="Times New Roman" w:cs="Times New Roman"/>
          <w:b/>
          <w:sz w:val="18"/>
          <w:szCs w:val="18"/>
        </w:rPr>
        <w:t>на «______» ________________20_____г.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>Финансовый орган муниципального образования ________________________________________________________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>Наименование направления расходов областного бюджета __________________________________                    Наименование направления расходов местного бюджета ____________________________________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b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>Главный распорядитель средств областного бюджет</w:t>
      </w:r>
      <w:r w:rsidRPr="00E70CAA">
        <w:rPr>
          <w:rFonts w:ascii="Times New Roman" w:hAnsi="Times New Roman" w:cs="Times New Roman"/>
          <w:b/>
          <w:sz w:val="18"/>
          <w:szCs w:val="18"/>
        </w:rPr>
        <w:t>а ______________________________________________________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b/>
          <w:sz w:val="18"/>
          <w:szCs w:val="18"/>
        </w:rPr>
      </w:pP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b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>Вид документа</w:t>
      </w:r>
      <w:r w:rsidRPr="00E70CAA"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______________________________________________________________________________________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(первичный, корректирующий)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>Периодичность: годовая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>Единица измерения: руб. (с точностью до второго десятичного знака)</w:t>
      </w:r>
    </w:p>
    <w:tbl>
      <w:tblPr>
        <w:tblStyle w:val="a9"/>
        <w:tblW w:w="16155" w:type="dxa"/>
        <w:tblLayout w:type="fixed"/>
        <w:tblLook w:val="04A0" w:firstRow="1" w:lastRow="0" w:firstColumn="1" w:lastColumn="0" w:noHBand="0" w:noVBand="1"/>
      </w:tblPr>
      <w:tblGrid>
        <w:gridCol w:w="674"/>
        <w:gridCol w:w="597"/>
        <w:gridCol w:w="709"/>
        <w:gridCol w:w="482"/>
        <w:gridCol w:w="548"/>
        <w:gridCol w:w="548"/>
        <w:gridCol w:w="551"/>
        <w:gridCol w:w="1273"/>
        <w:gridCol w:w="709"/>
        <w:gridCol w:w="708"/>
        <w:gridCol w:w="709"/>
        <w:gridCol w:w="850"/>
        <w:gridCol w:w="568"/>
        <w:gridCol w:w="567"/>
        <w:gridCol w:w="567"/>
        <w:gridCol w:w="708"/>
        <w:gridCol w:w="709"/>
        <w:gridCol w:w="709"/>
        <w:gridCol w:w="709"/>
        <w:gridCol w:w="850"/>
        <w:gridCol w:w="851"/>
        <w:gridCol w:w="1559"/>
      </w:tblGrid>
      <w:tr w:rsidR="000B5731" w:rsidRPr="00E70CAA" w:rsidTr="00B41DF3">
        <w:trPr>
          <w:trHeight w:val="138"/>
        </w:trPr>
        <w:tc>
          <w:tcPr>
            <w:tcW w:w="6799" w:type="dxa"/>
            <w:gridSpan w:val="10"/>
            <w:vMerge w:val="restart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Соглашение (нормативный правовой акт) о предоставлении из областного бюджета местному бюджету межбюджетного трансферта</w:t>
            </w:r>
          </w:p>
        </w:tc>
        <w:tc>
          <w:tcPr>
            <w:tcW w:w="1559" w:type="dxa"/>
            <w:gridSpan w:val="2"/>
            <w:vMerge w:val="restart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Муниципальный заказчик (получатель средств местного бюджета)</w:t>
            </w:r>
          </w:p>
        </w:tc>
        <w:tc>
          <w:tcPr>
            <w:tcW w:w="3828" w:type="dxa"/>
            <w:gridSpan w:val="6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Муниципальный контракт</w:t>
            </w:r>
          </w:p>
        </w:tc>
        <w:tc>
          <w:tcPr>
            <w:tcW w:w="1559" w:type="dxa"/>
            <w:gridSpan w:val="2"/>
            <w:vMerge w:val="restart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Бюджетное обязательство</w:t>
            </w:r>
          </w:p>
        </w:tc>
        <w:tc>
          <w:tcPr>
            <w:tcW w:w="851" w:type="dxa"/>
            <w:vMerge w:val="restart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Уровень</w:t>
            </w:r>
          </w:p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</w:t>
            </w:r>
            <w:r w:rsidRPr="00E70CAA">
              <w:rPr>
                <w:sz w:val="14"/>
                <w:szCs w:val="14"/>
              </w:rPr>
              <w:t>офинансирования</w:t>
            </w:r>
            <w:proofErr w:type="spellEnd"/>
            <w:r w:rsidRPr="00E70CAA">
              <w:rPr>
                <w:sz w:val="14"/>
                <w:szCs w:val="14"/>
              </w:rPr>
              <w:t xml:space="preserve"> расходного обязательства муниципального образования, %</w:t>
            </w:r>
          </w:p>
        </w:tc>
        <w:tc>
          <w:tcPr>
            <w:tcW w:w="1559" w:type="dxa"/>
            <w:vMerge w:val="restart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 xml:space="preserve">Сумма, в пределах которой </w:t>
            </w:r>
            <w:r>
              <w:rPr>
                <w:sz w:val="14"/>
                <w:szCs w:val="14"/>
              </w:rPr>
              <w:t xml:space="preserve">главному </w:t>
            </w:r>
            <w:proofErr w:type="spellStart"/>
            <w:r>
              <w:rPr>
                <w:sz w:val="14"/>
                <w:szCs w:val="14"/>
              </w:rPr>
              <w:t>распорядителюсредств</w:t>
            </w:r>
            <w:proofErr w:type="spellEnd"/>
            <w:r>
              <w:rPr>
                <w:sz w:val="14"/>
                <w:szCs w:val="14"/>
              </w:rPr>
              <w:t xml:space="preserve"> областного бюджета </w:t>
            </w:r>
            <w:r w:rsidRPr="00E70CAA">
              <w:rPr>
                <w:sz w:val="14"/>
                <w:szCs w:val="14"/>
              </w:rPr>
              <w:t>могут быть увеличены бюджетные ассигнования в текущем финансовом году</w:t>
            </w:r>
          </w:p>
        </w:tc>
      </w:tr>
      <w:tr w:rsidR="000B5731" w:rsidRPr="00E70CAA" w:rsidTr="00B41DF3">
        <w:trPr>
          <w:trHeight w:val="170"/>
        </w:trPr>
        <w:tc>
          <w:tcPr>
            <w:tcW w:w="6799" w:type="dxa"/>
            <w:gridSpan w:val="10"/>
            <w:vMerge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568" w:type="dxa"/>
            <w:vMerge w:val="restart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номер</w:t>
            </w:r>
          </w:p>
        </w:tc>
        <w:tc>
          <w:tcPr>
            <w:tcW w:w="567" w:type="dxa"/>
            <w:vMerge w:val="restart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дата</w:t>
            </w:r>
          </w:p>
        </w:tc>
        <w:tc>
          <w:tcPr>
            <w:tcW w:w="2693" w:type="dxa"/>
            <w:gridSpan w:val="4"/>
            <w:vMerge w:val="restart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Код по БК</w:t>
            </w:r>
          </w:p>
        </w:tc>
        <w:tc>
          <w:tcPr>
            <w:tcW w:w="1559" w:type="dxa"/>
            <w:gridSpan w:val="2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</w:tr>
      <w:tr w:rsidR="000B5731" w:rsidRPr="00E70CAA" w:rsidTr="00B41DF3">
        <w:trPr>
          <w:trHeight w:val="155"/>
        </w:trPr>
        <w:tc>
          <w:tcPr>
            <w:tcW w:w="674" w:type="dxa"/>
            <w:vMerge w:val="restart"/>
          </w:tcPr>
          <w:p w:rsidR="000B5731" w:rsidRPr="00E70CAA" w:rsidRDefault="000B5731" w:rsidP="004A16F7">
            <w:pPr>
              <w:pStyle w:val="ac"/>
              <w:rPr>
                <w:sz w:val="16"/>
                <w:szCs w:val="16"/>
              </w:rPr>
            </w:pPr>
            <w:r w:rsidRPr="00E70CAA">
              <w:rPr>
                <w:sz w:val="16"/>
                <w:szCs w:val="16"/>
              </w:rPr>
              <w:t>номер</w:t>
            </w:r>
          </w:p>
        </w:tc>
        <w:tc>
          <w:tcPr>
            <w:tcW w:w="597" w:type="dxa"/>
            <w:vMerge w:val="restart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дата</w:t>
            </w:r>
          </w:p>
        </w:tc>
        <w:tc>
          <w:tcPr>
            <w:tcW w:w="709" w:type="dxa"/>
            <w:vMerge w:val="restart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сумма</w:t>
            </w:r>
          </w:p>
        </w:tc>
        <w:tc>
          <w:tcPr>
            <w:tcW w:w="2129" w:type="dxa"/>
            <w:gridSpan w:val="4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Код по БК</w:t>
            </w:r>
          </w:p>
        </w:tc>
        <w:tc>
          <w:tcPr>
            <w:tcW w:w="1273" w:type="dxa"/>
            <w:vMerge w:val="restart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неисполненный остаток бюджетного обязательства на начало текущего финансового года</w:t>
            </w:r>
          </w:p>
        </w:tc>
        <w:tc>
          <w:tcPr>
            <w:tcW w:w="709" w:type="dxa"/>
            <w:vMerge w:val="restart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учетный номер бюджетного обязательства</w:t>
            </w:r>
          </w:p>
        </w:tc>
        <w:tc>
          <w:tcPr>
            <w:tcW w:w="708" w:type="dxa"/>
            <w:vMerge w:val="restart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аналитический код цели</w:t>
            </w:r>
          </w:p>
        </w:tc>
        <w:tc>
          <w:tcPr>
            <w:tcW w:w="709" w:type="dxa"/>
            <w:vMerge w:val="restart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Код по сводному реестру</w:t>
            </w:r>
          </w:p>
        </w:tc>
        <w:tc>
          <w:tcPr>
            <w:tcW w:w="568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</w:tr>
      <w:tr w:rsidR="000B5731" w:rsidRPr="00E70CAA" w:rsidTr="00B41DF3">
        <w:trPr>
          <w:trHeight w:val="986"/>
        </w:trPr>
        <w:tc>
          <w:tcPr>
            <w:tcW w:w="674" w:type="dxa"/>
            <w:vMerge/>
          </w:tcPr>
          <w:p w:rsidR="000B5731" w:rsidRPr="00E70CAA" w:rsidRDefault="000B5731" w:rsidP="004A16F7">
            <w:pPr>
              <w:pStyle w:val="ac"/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482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главы</w:t>
            </w:r>
          </w:p>
        </w:tc>
        <w:tc>
          <w:tcPr>
            <w:tcW w:w="548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раздела, подраздела</w:t>
            </w:r>
          </w:p>
        </w:tc>
        <w:tc>
          <w:tcPr>
            <w:tcW w:w="548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целевой статьи</w:t>
            </w:r>
          </w:p>
        </w:tc>
        <w:tc>
          <w:tcPr>
            <w:tcW w:w="551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вида расходов</w:t>
            </w:r>
          </w:p>
        </w:tc>
        <w:tc>
          <w:tcPr>
            <w:tcW w:w="1273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главы</w:t>
            </w:r>
          </w:p>
        </w:tc>
        <w:tc>
          <w:tcPr>
            <w:tcW w:w="708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раздела, подраздела</w:t>
            </w:r>
          </w:p>
        </w:tc>
        <w:tc>
          <w:tcPr>
            <w:tcW w:w="709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целевой статьи</w:t>
            </w:r>
          </w:p>
        </w:tc>
        <w:tc>
          <w:tcPr>
            <w:tcW w:w="709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вида расходов</w:t>
            </w:r>
          </w:p>
        </w:tc>
        <w:tc>
          <w:tcPr>
            <w:tcW w:w="709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учетный номер</w:t>
            </w:r>
          </w:p>
        </w:tc>
        <w:tc>
          <w:tcPr>
            <w:tcW w:w="850" w:type="dxa"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неисполненный о</w:t>
            </w:r>
            <w:r>
              <w:rPr>
                <w:sz w:val="14"/>
                <w:szCs w:val="14"/>
              </w:rPr>
              <w:t>с</w:t>
            </w:r>
            <w:r w:rsidRPr="00E70CAA">
              <w:rPr>
                <w:sz w:val="14"/>
                <w:szCs w:val="14"/>
              </w:rPr>
              <w:t>таток отчетного финансового года</w:t>
            </w:r>
          </w:p>
        </w:tc>
        <w:tc>
          <w:tcPr>
            <w:tcW w:w="851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0B5731" w:rsidRPr="00E70CAA" w:rsidRDefault="000B5731" w:rsidP="004A16F7">
            <w:pPr>
              <w:pStyle w:val="ac"/>
              <w:rPr>
                <w:sz w:val="14"/>
                <w:szCs w:val="14"/>
              </w:rPr>
            </w:pPr>
          </w:p>
        </w:tc>
      </w:tr>
      <w:tr w:rsidR="000B5731" w:rsidRPr="00E70CAA" w:rsidTr="00B41DF3">
        <w:trPr>
          <w:trHeight w:val="166"/>
        </w:trPr>
        <w:tc>
          <w:tcPr>
            <w:tcW w:w="674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6"/>
                <w:szCs w:val="16"/>
              </w:rPr>
            </w:pPr>
            <w:r w:rsidRPr="00E70CAA">
              <w:rPr>
                <w:sz w:val="16"/>
                <w:szCs w:val="16"/>
              </w:rPr>
              <w:t>1</w:t>
            </w:r>
          </w:p>
        </w:tc>
        <w:tc>
          <w:tcPr>
            <w:tcW w:w="597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3</w:t>
            </w:r>
          </w:p>
        </w:tc>
        <w:tc>
          <w:tcPr>
            <w:tcW w:w="482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4</w:t>
            </w:r>
          </w:p>
        </w:tc>
        <w:tc>
          <w:tcPr>
            <w:tcW w:w="548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5</w:t>
            </w:r>
          </w:p>
        </w:tc>
        <w:tc>
          <w:tcPr>
            <w:tcW w:w="548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6</w:t>
            </w:r>
          </w:p>
        </w:tc>
        <w:tc>
          <w:tcPr>
            <w:tcW w:w="551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7</w:t>
            </w:r>
          </w:p>
        </w:tc>
        <w:tc>
          <w:tcPr>
            <w:tcW w:w="1273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9</w:t>
            </w:r>
          </w:p>
        </w:tc>
        <w:tc>
          <w:tcPr>
            <w:tcW w:w="708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  <w:lang w:val="en-US"/>
              </w:rPr>
            </w:pPr>
            <w:r w:rsidRPr="00E70CAA"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  <w:lang w:val="en-US"/>
              </w:rPr>
            </w:pPr>
            <w:r w:rsidRPr="00E70CAA">
              <w:rPr>
                <w:sz w:val="14"/>
                <w:szCs w:val="14"/>
              </w:rPr>
              <w:t>12</w:t>
            </w:r>
          </w:p>
        </w:tc>
        <w:tc>
          <w:tcPr>
            <w:tcW w:w="568" w:type="dxa"/>
          </w:tcPr>
          <w:p w:rsidR="000B5731" w:rsidRPr="004A16F7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0B5731" w:rsidRPr="004A16F7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</w:tcPr>
          <w:p w:rsidR="000B5731" w:rsidRPr="004A16F7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15</w:t>
            </w:r>
          </w:p>
        </w:tc>
        <w:tc>
          <w:tcPr>
            <w:tcW w:w="708" w:type="dxa"/>
          </w:tcPr>
          <w:p w:rsidR="000B5731" w:rsidRPr="004A16F7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:rsidR="000B5731" w:rsidRPr="004A16F7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</w:tcPr>
          <w:p w:rsidR="000B5731" w:rsidRPr="004A16F7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  <w:lang w:val="en-US"/>
              </w:rPr>
            </w:pPr>
            <w:r w:rsidRPr="00E70CAA">
              <w:rPr>
                <w:sz w:val="14"/>
                <w:szCs w:val="14"/>
              </w:rPr>
              <w:t>19</w:t>
            </w:r>
          </w:p>
        </w:tc>
        <w:tc>
          <w:tcPr>
            <w:tcW w:w="850" w:type="dxa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  <w:lang w:val="en-US"/>
              </w:rPr>
            </w:pPr>
            <w:r w:rsidRPr="00E70CAA">
              <w:rPr>
                <w:sz w:val="14"/>
                <w:szCs w:val="14"/>
              </w:rPr>
              <w:t>20</w:t>
            </w:r>
          </w:p>
        </w:tc>
        <w:tc>
          <w:tcPr>
            <w:tcW w:w="851" w:type="dxa"/>
          </w:tcPr>
          <w:p w:rsidR="000B5731" w:rsidRPr="004A16F7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21</w:t>
            </w:r>
          </w:p>
        </w:tc>
        <w:tc>
          <w:tcPr>
            <w:tcW w:w="1559" w:type="dxa"/>
          </w:tcPr>
          <w:p w:rsidR="000B5731" w:rsidRPr="004A16F7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22</w:t>
            </w:r>
          </w:p>
        </w:tc>
      </w:tr>
      <w:tr w:rsidR="000B5731" w:rsidRPr="00E70CAA" w:rsidTr="00B41DF3">
        <w:trPr>
          <w:trHeight w:val="277"/>
        </w:trPr>
        <w:tc>
          <w:tcPr>
            <w:tcW w:w="674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8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8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</w:tr>
      <w:tr w:rsidR="000B5731" w:rsidRPr="00E70CAA" w:rsidTr="00B41DF3">
        <w:trPr>
          <w:trHeight w:val="277"/>
        </w:trPr>
        <w:tc>
          <w:tcPr>
            <w:tcW w:w="13745" w:type="dxa"/>
            <w:gridSpan w:val="20"/>
          </w:tcPr>
          <w:p w:rsidR="000B5731" w:rsidRPr="00B41DF3" w:rsidRDefault="000B5731" w:rsidP="004A16F7">
            <w:pPr>
              <w:pStyle w:val="ac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B5731" w:rsidRPr="00E70CAA" w:rsidRDefault="000B5731" w:rsidP="004A16F7">
            <w:pPr>
              <w:pStyle w:val="ac"/>
              <w:jc w:val="center"/>
              <w:rPr>
                <w:sz w:val="14"/>
                <w:szCs w:val="14"/>
              </w:rPr>
            </w:pPr>
            <w:r w:rsidRPr="00E70CAA">
              <w:rPr>
                <w:sz w:val="14"/>
                <w:szCs w:val="14"/>
              </w:rPr>
              <w:t>Всего</w:t>
            </w:r>
          </w:p>
        </w:tc>
      </w:tr>
    </w:tbl>
    <w:p w:rsidR="000B5731" w:rsidRPr="004A16F7" w:rsidRDefault="000B5731" w:rsidP="000B5731">
      <w:pPr>
        <w:pStyle w:val="ac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 xml:space="preserve">Руководитель (уполномоченное лицо) __________   ____________    _____________________                        Главный распорядитель 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</w:t>
      </w:r>
      <w:proofErr w:type="gramStart"/>
      <w:r w:rsidRPr="00E70CAA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E70CAA">
        <w:rPr>
          <w:rFonts w:ascii="Times New Roman" w:hAnsi="Times New Roman" w:cs="Times New Roman"/>
          <w:sz w:val="18"/>
          <w:szCs w:val="18"/>
        </w:rPr>
        <w:t xml:space="preserve"> (подпись)         (расшифровка подписи)                         средств областного бюджета: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Руководитель (уполномоченное лицо) _______________    ____________    ______________________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 xml:space="preserve">Главный бухгалтер (уполномоченное лицо) ____________   __________   ______________________                                                                                  </w:t>
      </w:r>
      <w:proofErr w:type="gramStart"/>
      <w:r w:rsidRPr="00E70CAA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E70CAA">
        <w:rPr>
          <w:rFonts w:ascii="Times New Roman" w:hAnsi="Times New Roman" w:cs="Times New Roman"/>
          <w:sz w:val="18"/>
          <w:szCs w:val="18"/>
        </w:rPr>
        <w:t>должность)              (подпись)        (расшифровка подписи)                              (расшифровка подписи)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</w:t>
      </w:r>
      <w:proofErr w:type="gramStart"/>
      <w:r w:rsidRPr="00E70CAA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E70CAA">
        <w:rPr>
          <w:rFonts w:ascii="Times New Roman" w:hAnsi="Times New Roman" w:cs="Times New Roman"/>
          <w:sz w:val="18"/>
          <w:szCs w:val="18"/>
        </w:rPr>
        <w:t xml:space="preserve">    (подпись)      (расшифровка подписи)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0B5731" w:rsidRPr="00E70CAA" w:rsidRDefault="000B5731" w:rsidP="000B5731">
      <w:pPr>
        <w:pStyle w:val="ac"/>
        <w:rPr>
          <w:b/>
          <w:sz w:val="28"/>
          <w:szCs w:val="28"/>
        </w:rPr>
      </w:pPr>
      <w:r w:rsidRPr="00E70CAA">
        <w:rPr>
          <w:rFonts w:ascii="Times New Roman" w:hAnsi="Times New Roman" w:cs="Times New Roman"/>
          <w:sz w:val="18"/>
          <w:szCs w:val="18"/>
        </w:rPr>
        <w:t xml:space="preserve">« _______» __________________ 20______г.      МП                                                                                                 Исполнитель _________________     ____________________   _____________________________ 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6"/>
          <w:szCs w:val="16"/>
        </w:rPr>
      </w:pPr>
      <w:r w:rsidRPr="00E70CA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E70CA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70CAA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E70CAA">
        <w:rPr>
          <w:rFonts w:ascii="Times New Roman" w:hAnsi="Times New Roman" w:cs="Times New Roman"/>
          <w:sz w:val="16"/>
          <w:szCs w:val="16"/>
        </w:rPr>
        <w:t xml:space="preserve">                    (подпись)                                   (расшифровка подписи)</w:t>
      </w: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6"/>
          <w:szCs w:val="16"/>
        </w:rPr>
      </w:pPr>
    </w:p>
    <w:p w:rsidR="000B5731" w:rsidRPr="00E70CAA" w:rsidRDefault="000B5731" w:rsidP="000B5731">
      <w:pPr>
        <w:pStyle w:val="ac"/>
        <w:rPr>
          <w:rFonts w:ascii="Times New Roman" w:hAnsi="Times New Roman" w:cs="Times New Roman"/>
          <w:sz w:val="18"/>
          <w:szCs w:val="18"/>
        </w:rPr>
      </w:pPr>
      <w:r w:rsidRPr="00E7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« _______» __________________ 20______г.      МП</w:t>
      </w:r>
    </w:p>
    <w:sectPr w:rsidR="000B5731" w:rsidRPr="00E70CAA" w:rsidSect="00B41DF3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0E" w:rsidRDefault="00256D19">
      <w:r>
        <w:separator/>
      </w:r>
    </w:p>
  </w:endnote>
  <w:endnote w:type="continuationSeparator" w:id="0">
    <w:p w:rsidR="000D730E" w:rsidRDefault="002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0E" w:rsidRDefault="00256D19">
      <w:r>
        <w:separator/>
      </w:r>
    </w:p>
  </w:footnote>
  <w:footnote w:type="continuationSeparator" w:id="0">
    <w:p w:rsidR="000D730E" w:rsidRDefault="0025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B4" w:rsidRDefault="00B41DF3">
    <w:pPr>
      <w:pStyle w:val="aa"/>
      <w:jc w:val="right"/>
    </w:pPr>
  </w:p>
  <w:p w:rsidR="000465B4" w:rsidRDefault="00B41DF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31"/>
    <w:rsid w:val="000020C1"/>
    <w:rsid w:val="000A113E"/>
    <w:rsid w:val="000B5731"/>
    <w:rsid w:val="000C20B1"/>
    <w:rsid w:val="000D730E"/>
    <w:rsid w:val="001929AF"/>
    <w:rsid w:val="001E4802"/>
    <w:rsid w:val="002074E4"/>
    <w:rsid w:val="002242E4"/>
    <w:rsid w:val="00253F57"/>
    <w:rsid w:val="00256D19"/>
    <w:rsid w:val="00261859"/>
    <w:rsid w:val="00430FCE"/>
    <w:rsid w:val="004E53EB"/>
    <w:rsid w:val="00593862"/>
    <w:rsid w:val="0059774A"/>
    <w:rsid w:val="006874F4"/>
    <w:rsid w:val="008A5DDA"/>
    <w:rsid w:val="00950D86"/>
    <w:rsid w:val="00A95616"/>
    <w:rsid w:val="00AA13A1"/>
    <w:rsid w:val="00AB55AC"/>
    <w:rsid w:val="00B41DF3"/>
    <w:rsid w:val="00BB6B73"/>
    <w:rsid w:val="00BB768D"/>
    <w:rsid w:val="00C3517C"/>
    <w:rsid w:val="00C6587C"/>
    <w:rsid w:val="00D11E06"/>
    <w:rsid w:val="00D21DDD"/>
    <w:rsid w:val="00DA64A8"/>
    <w:rsid w:val="00DB52C4"/>
    <w:rsid w:val="00EB6EE9"/>
    <w:rsid w:val="00E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7F476-ED40-467F-9CC9-4197280D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731"/>
    <w:pPr>
      <w:jc w:val="center"/>
    </w:pPr>
    <w:rPr>
      <w:b/>
      <w:sz w:val="26"/>
    </w:rPr>
  </w:style>
  <w:style w:type="character" w:customStyle="1" w:styleId="a4">
    <w:name w:val="Название Знак"/>
    <w:basedOn w:val="a0"/>
    <w:link w:val="a3"/>
    <w:rsid w:val="000B573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0B57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B5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0B5731"/>
    <w:pPr>
      <w:spacing w:after="120"/>
    </w:pPr>
  </w:style>
  <w:style w:type="character" w:customStyle="1" w:styleId="a8">
    <w:name w:val="Основной текст Знак"/>
    <w:basedOn w:val="a0"/>
    <w:link w:val="a7"/>
    <w:rsid w:val="000B573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0B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B57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5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0B5731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3517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5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555E-233F-44F4-AE12-06A32C93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mohonova.ia</dc:creator>
  <cp:keywords/>
  <dc:description/>
  <cp:lastModifiedBy>Синицына Елизавета Владимировна</cp:lastModifiedBy>
  <cp:revision>104</cp:revision>
  <cp:lastPrinted>2020-02-07T11:38:00Z</cp:lastPrinted>
  <dcterms:created xsi:type="dcterms:W3CDTF">2020-02-07T05:52:00Z</dcterms:created>
  <dcterms:modified xsi:type="dcterms:W3CDTF">2020-02-07T11:41:00Z</dcterms:modified>
</cp:coreProperties>
</file>