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A0" w:rsidRDefault="00F522A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522A0" w:rsidRDefault="00F522A0">
      <w:pPr>
        <w:pStyle w:val="ConsPlusNormal"/>
        <w:jc w:val="both"/>
        <w:outlineLvl w:val="0"/>
      </w:pPr>
    </w:p>
    <w:p w:rsidR="00F522A0" w:rsidRDefault="00F522A0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налоге на прибыль при реализации имущества казенным учреждением.</w:t>
      </w:r>
    </w:p>
    <w:p w:rsidR="00F522A0" w:rsidRDefault="00F522A0">
      <w:pPr>
        <w:pStyle w:val="ConsPlusNormal"/>
        <w:jc w:val="both"/>
      </w:pPr>
    </w:p>
    <w:p w:rsidR="00F522A0" w:rsidRDefault="00F522A0">
      <w:pPr>
        <w:pStyle w:val="ConsPlusNormal"/>
        <w:ind w:firstLine="540"/>
        <w:jc w:val="both"/>
      </w:pPr>
      <w:r>
        <w:rPr>
          <w:b/>
        </w:rPr>
        <w:t>Ответ:</w:t>
      </w:r>
    </w:p>
    <w:p w:rsidR="00F522A0" w:rsidRDefault="00F522A0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F522A0" w:rsidRDefault="00F522A0">
      <w:pPr>
        <w:pStyle w:val="ConsPlusTitle"/>
        <w:jc w:val="center"/>
      </w:pPr>
    </w:p>
    <w:p w:rsidR="00F522A0" w:rsidRDefault="00F522A0">
      <w:pPr>
        <w:pStyle w:val="ConsPlusTitle"/>
        <w:jc w:val="center"/>
      </w:pPr>
      <w:r>
        <w:t>ПИСЬМО</w:t>
      </w:r>
    </w:p>
    <w:p w:rsidR="00F522A0" w:rsidRDefault="00F522A0">
      <w:pPr>
        <w:pStyle w:val="ConsPlusTitle"/>
        <w:jc w:val="center"/>
      </w:pPr>
      <w:r>
        <w:t>от 26 февраля 2019 г. N 03-03-06/3/12369</w:t>
      </w:r>
    </w:p>
    <w:p w:rsidR="00F522A0" w:rsidRDefault="00F522A0">
      <w:pPr>
        <w:pStyle w:val="ConsPlusNormal"/>
        <w:jc w:val="both"/>
      </w:pPr>
    </w:p>
    <w:p w:rsidR="00F522A0" w:rsidRDefault="00F522A0">
      <w:pPr>
        <w:pStyle w:val="ConsPlusNormal"/>
        <w:ind w:firstLine="540"/>
        <w:jc w:val="both"/>
      </w:pPr>
      <w:r>
        <w:t>Департамент налоговой и таможенной политики рассмотрел обращение по вопросу учета для целей налога на прибыль организаций операций, связанных с реализацией казенным учреждением отдельных видов имущества, и сообщает следующее.</w:t>
      </w:r>
    </w:p>
    <w:p w:rsidR="00F522A0" w:rsidRDefault="00F522A0">
      <w:pPr>
        <w:pStyle w:val="ConsPlusNormal"/>
        <w:spacing w:before="220"/>
        <w:ind w:firstLine="540"/>
        <w:jc w:val="both"/>
      </w:pPr>
      <w:r>
        <w:t>В соответствии с законодательством Российской Федерации казенные учреждения являются некоммерческими организациями, которые создаются в целях оказания государственных (муниципальных) услуг, выполнения работ и (или) исполнения государственных (муниципальных) функций для обеспечения реализации предусмотренных законодательством Российской Федерации полномочий органов государственной власти (государственных органов) или органов местного самоуправления.</w:t>
      </w:r>
    </w:p>
    <w:p w:rsidR="00F522A0" w:rsidRDefault="00F522A0">
      <w:pPr>
        <w:pStyle w:val="ConsPlusNormal"/>
        <w:spacing w:before="220"/>
        <w:ind w:firstLine="540"/>
        <w:jc w:val="both"/>
      </w:pPr>
      <w:r>
        <w:t xml:space="preserve">Согласно положениям </w:t>
      </w:r>
      <w:hyperlink r:id="rId5" w:history="1">
        <w:r>
          <w:rPr>
            <w:color w:val="0000FF"/>
          </w:rPr>
          <w:t>главы 25</w:t>
        </w:r>
      </w:hyperlink>
      <w:r>
        <w:t xml:space="preserve"> "Налог на прибыль организаций</w:t>
      </w:r>
      <w:proofErr w:type="gramStart"/>
      <w:r>
        <w:t>"</w:t>
      </w:r>
      <w:proofErr w:type="gramEnd"/>
      <w:r>
        <w:t xml:space="preserve"> Налогового кодекса Российской Федерации (далее - НК РФ) некоммерческие организации являются плательщиками налога на прибыль организаций на общих основаниях.</w:t>
      </w:r>
    </w:p>
    <w:p w:rsidR="00F522A0" w:rsidRDefault="00F522A0">
      <w:pPr>
        <w:pStyle w:val="ConsPlusNormal"/>
        <w:spacing w:before="220"/>
        <w:ind w:firstLine="540"/>
        <w:jc w:val="both"/>
      </w:pPr>
      <w:r>
        <w:t xml:space="preserve">В силу нормы </w:t>
      </w:r>
      <w:hyperlink r:id="rId6" w:history="1">
        <w:r>
          <w:rPr>
            <w:color w:val="0000FF"/>
          </w:rPr>
          <w:t>статьи 248</w:t>
        </w:r>
      </w:hyperlink>
      <w:r>
        <w:t xml:space="preserve"> НК РФ к доходам в целях налогообложения прибыли организаций относятся доходы от реализации товаров (работ, услуг) и имущественных прав (</w:t>
      </w:r>
      <w:hyperlink r:id="rId7" w:history="1">
        <w:r>
          <w:rPr>
            <w:color w:val="0000FF"/>
          </w:rPr>
          <w:t>статья 249</w:t>
        </w:r>
      </w:hyperlink>
      <w:r>
        <w:t xml:space="preserve"> НК РФ) и внереализационные доходы (</w:t>
      </w:r>
      <w:hyperlink r:id="rId8" w:history="1">
        <w:r>
          <w:rPr>
            <w:color w:val="0000FF"/>
          </w:rPr>
          <w:t>статья 250</w:t>
        </w:r>
      </w:hyperlink>
      <w:r>
        <w:t xml:space="preserve"> НК РФ).</w:t>
      </w:r>
    </w:p>
    <w:p w:rsidR="00F522A0" w:rsidRDefault="00F522A0">
      <w:pPr>
        <w:pStyle w:val="ConsPlusNormal"/>
        <w:spacing w:before="220"/>
        <w:ind w:firstLine="540"/>
        <w:jc w:val="both"/>
      </w:pPr>
      <w:r>
        <w:t xml:space="preserve">Доходы, не учитываемые при определении налоговой базы по налогу на прибыль, поименованы в </w:t>
      </w:r>
      <w:hyperlink r:id="rId9" w:history="1">
        <w:r>
          <w:rPr>
            <w:color w:val="0000FF"/>
          </w:rPr>
          <w:t>статье 251</w:t>
        </w:r>
      </w:hyperlink>
      <w:r>
        <w:t xml:space="preserve"> НК РФ. Перечень таких доходов является исчерпывающим.</w:t>
      </w:r>
    </w:p>
    <w:p w:rsidR="00F522A0" w:rsidRDefault="00F522A0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подпунктом 14 пункта 1 статьи 251</w:t>
        </w:r>
      </w:hyperlink>
      <w:r>
        <w:t xml:space="preserve"> НК РФ при определении налоговой базы по налогу на прибыль не учитываются средства целевого финансирования, к которым, в частности, относятся средства в виде лимитов бюджетных обязательств (бюджетных ассигнований), доведенных в установленном порядке до казенных учреждений. При этом в силу указанной </w:t>
      </w:r>
      <w:hyperlink r:id="rId11" w:history="1">
        <w:r>
          <w:rPr>
            <w:color w:val="0000FF"/>
          </w:rPr>
          <w:t>нормы</w:t>
        </w:r>
      </w:hyperlink>
      <w:r>
        <w:t xml:space="preserve"> на получателей средств целевого финансирования возложена обязанность по ведению раздельного учета доходов (расходов), полученных (произведенных) в рамках целевого финансирования. То есть расходы, произведенные за счет средств целевого финансирования, при формировании налоговой базы по налогу на прибыль организаций не учитываются.</w:t>
      </w:r>
    </w:p>
    <w:p w:rsidR="00F522A0" w:rsidRDefault="00F522A0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12" w:history="1">
        <w:r>
          <w:rPr>
            <w:color w:val="0000FF"/>
          </w:rPr>
          <w:t>подпункта 33.1 пункта 1 статьи 251</w:t>
        </w:r>
      </w:hyperlink>
      <w:r>
        <w:t xml:space="preserve"> НК РФ при определении налоговой базы по налогу на прибыль организаций не учитываются доходы в виде средств, полученных казенными учреждениями от оказания услуг (выполнения работ).</w:t>
      </w:r>
    </w:p>
    <w:p w:rsidR="00F522A0" w:rsidRDefault="00F522A0">
      <w:pPr>
        <w:pStyle w:val="ConsPlusNormal"/>
        <w:spacing w:before="220"/>
        <w:ind w:firstLine="540"/>
        <w:jc w:val="both"/>
      </w:pPr>
      <w:r>
        <w:t>Таким образом, если казенное учреждение реализует имущество, которое было приобретено за счет средств целевого финансирования (</w:t>
      </w:r>
      <w:hyperlink r:id="rId13" w:history="1">
        <w:r>
          <w:rPr>
            <w:color w:val="0000FF"/>
          </w:rPr>
          <w:t>подпункт 14 пункта 1 статьи 251</w:t>
        </w:r>
      </w:hyperlink>
      <w:r>
        <w:t xml:space="preserve"> НК РФ), то выручка от реализации такого имущества полностью включается в налоговую базу по налогу на прибыль организаций без уменьшения на стоимость его приобретения.</w:t>
      </w:r>
    </w:p>
    <w:p w:rsidR="00F522A0" w:rsidRDefault="00F522A0">
      <w:pPr>
        <w:pStyle w:val="ConsPlusNormal"/>
        <w:spacing w:before="220"/>
        <w:ind w:firstLine="540"/>
        <w:jc w:val="both"/>
      </w:pPr>
      <w:r>
        <w:t xml:space="preserve">В случае если казенным учреждением реализуется имущество, выявленное в ходе инвентаризации и (или) полученное безвозмездно, и (или) полученное при демонтаже или разборке выводимых из эксплуатации основных средств, ремонте, модернизации, реконструкции, техническом перевооружении либо частичной ликвидации основных средств, то необходимо </w:t>
      </w:r>
      <w:r>
        <w:lastRenderedPageBreak/>
        <w:t>учитывать следующее.</w:t>
      </w:r>
    </w:p>
    <w:p w:rsidR="00F522A0" w:rsidRDefault="00F522A0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абзацем 2 пункта 2 статьи 254</w:t>
        </w:r>
      </w:hyperlink>
      <w:r>
        <w:t xml:space="preserve"> НК РФ стоимость материально-производственных запасов, прочего имущества в виде излишков, выявленных в ходе инвентаризации, и (или) имущества, полученного безвозмездно, и (или) имущества, полученного при демонтаже или разборке выводимых из эксплуатации основных средств, ремонте, модернизации, реконструкции, техническом перевооружении либо частичной ликвидации основных средств, определяется как сумма дохода, учтенного налогоплательщиком в порядке, предусмотренном </w:t>
      </w:r>
      <w:hyperlink r:id="rId15" w:history="1">
        <w:r>
          <w:rPr>
            <w:color w:val="0000FF"/>
          </w:rPr>
          <w:t>пунктами 8</w:t>
        </w:r>
      </w:hyperlink>
      <w:r>
        <w:t xml:space="preserve">, </w:t>
      </w:r>
      <w:hyperlink r:id="rId16" w:history="1">
        <w:r>
          <w:rPr>
            <w:color w:val="0000FF"/>
          </w:rPr>
          <w:t>13</w:t>
        </w:r>
      </w:hyperlink>
      <w:r>
        <w:t xml:space="preserve"> и </w:t>
      </w:r>
      <w:hyperlink r:id="rId17" w:history="1">
        <w:r>
          <w:rPr>
            <w:color w:val="0000FF"/>
          </w:rPr>
          <w:t>20 статьи 250</w:t>
        </w:r>
      </w:hyperlink>
      <w:r>
        <w:t xml:space="preserve"> НК РФ.</w:t>
      </w:r>
    </w:p>
    <w:p w:rsidR="00F522A0" w:rsidRDefault="00F522A0">
      <w:pPr>
        <w:pStyle w:val="ConsPlusNormal"/>
        <w:spacing w:before="220"/>
        <w:ind w:firstLine="540"/>
        <w:jc w:val="both"/>
      </w:pPr>
      <w:r>
        <w:t xml:space="preserve">При реализации такого имущества налогоплательщик вправе уменьшить доходы от таких операций на сумму расходов, указанных в </w:t>
      </w:r>
      <w:hyperlink r:id="rId18" w:history="1">
        <w:r>
          <w:rPr>
            <w:color w:val="0000FF"/>
          </w:rPr>
          <w:t>абзаце 2 пункта 2 статьи 254</w:t>
        </w:r>
      </w:hyperlink>
      <w:r>
        <w:t xml:space="preserve"> НК РФ, то есть на сумму, по которой оно было отражено в составе внереализационных доходов в соответствии с </w:t>
      </w:r>
      <w:hyperlink r:id="rId19" w:history="1">
        <w:r>
          <w:rPr>
            <w:color w:val="0000FF"/>
          </w:rPr>
          <w:t>пунктами 8</w:t>
        </w:r>
      </w:hyperlink>
      <w:r>
        <w:t xml:space="preserve">, </w:t>
      </w:r>
      <w:hyperlink r:id="rId20" w:history="1">
        <w:r>
          <w:rPr>
            <w:color w:val="0000FF"/>
          </w:rPr>
          <w:t>13</w:t>
        </w:r>
      </w:hyperlink>
      <w:r>
        <w:t xml:space="preserve"> и </w:t>
      </w:r>
      <w:hyperlink r:id="rId21" w:history="1">
        <w:r>
          <w:rPr>
            <w:color w:val="0000FF"/>
          </w:rPr>
          <w:t>20 статьи 250</w:t>
        </w:r>
      </w:hyperlink>
      <w:r>
        <w:t xml:space="preserve"> НК РФ.</w:t>
      </w:r>
    </w:p>
    <w:p w:rsidR="00F522A0" w:rsidRDefault="00F522A0">
      <w:pPr>
        <w:pStyle w:val="ConsPlusNormal"/>
        <w:jc w:val="both"/>
      </w:pPr>
    </w:p>
    <w:p w:rsidR="00F522A0" w:rsidRDefault="00F522A0">
      <w:pPr>
        <w:pStyle w:val="ConsPlusNormal"/>
        <w:jc w:val="right"/>
      </w:pPr>
      <w:r>
        <w:t>Заместитель директора Департамента</w:t>
      </w:r>
    </w:p>
    <w:p w:rsidR="00F522A0" w:rsidRDefault="00F522A0">
      <w:pPr>
        <w:pStyle w:val="ConsPlusNormal"/>
        <w:jc w:val="right"/>
      </w:pPr>
      <w:r>
        <w:t>А.А.СМИРНОВ</w:t>
      </w:r>
    </w:p>
    <w:p w:rsidR="00F522A0" w:rsidRDefault="00F522A0">
      <w:pPr>
        <w:pStyle w:val="ConsPlusNormal"/>
      </w:pPr>
      <w:r>
        <w:t>26.02.2019</w:t>
      </w:r>
    </w:p>
    <w:p w:rsidR="00F522A0" w:rsidRDefault="00F522A0">
      <w:pPr>
        <w:pStyle w:val="ConsPlusNormal"/>
        <w:jc w:val="both"/>
      </w:pPr>
    </w:p>
    <w:p w:rsidR="00F522A0" w:rsidRDefault="00F522A0">
      <w:pPr>
        <w:pStyle w:val="ConsPlusNormal"/>
        <w:jc w:val="both"/>
      </w:pPr>
    </w:p>
    <w:p w:rsidR="00F522A0" w:rsidRDefault="00F522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62D9" w:rsidRDefault="002D62D9">
      <w:bookmarkStart w:id="0" w:name="_GoBack"/>
      <w:bookmarkEnd w:id="0"/>
    </w:p>
    <w:sectPr w:rsidR="002D62D9" w:rsidSect="008E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A0"/>
    <w:rsid w:val="002D62D9"/>
    <w:rsid w:val="00F5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7873C-51B7-4D30-9C39-A989F037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2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2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AB2CC8CA6510C1E01199D66D17D707ADAF67C09E13E4987F2CFA665D94346131183F8B2B2C789C7B309F5D0BE30D42779407CDE43C85FDJ868L" TargetMode="External"/><Relationship Id="rId13" Type="http://schemas.openxmlformats.org/officeDocument/2006/relationships/hyperlink" Target="consultantplus://offline/ref=73AB2CC8CA6510C1E01199D66D17D707ADAF67C09E13E4987F2CFA665D94346131183F892C2B70912B6A8F5942B7085D7F8919CCFA3FJ86CL" TargetMode="External"/><Relationship Id="rId18" Type="http://schemas.openxmlformats.org/officeDocument/2006/relationships/hyperlink" Target="consultantplus://offline/ref=73AB2CC8CA6510C1E01199D66D17D707ADAF67C09E13E4987F2CFA665D94346131183F832C2578912B6A8F5942B7085D7F8919CCFA3FJ86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3AB2CC8CA6510C1E01199D66D17D707ADAF67C09E13E4987F2CFA665D94346131183F882A2572912B6A8F5942B7085D7F8919CCFA3FJ86CL" TargetMode="External"/><Relationship Id="rId7" Type="http://schemas.openxmlformats.org/officeDocument/2006/relationships/hyperlink" Target="consultantplus://offline/ref=73AB2CC8CA6510C1E01199D66D17D707ADAF67C09E13E4987F2CFA665D94346131183F8B2B2C789C7F309F5D0BE30D42779407CDE43C85FDJ868L" TargetMode="External"/><Relationship Id="rId12" Type="http://schemas.openxmlformats.org/officeDocument/2006/relationships/hyperlink" Target="consultantplus://offline/ref=73AB2CC8CA6510C1E01199D66D17D707ADAF67C09E13E4987F2CFA665D94346131183F8B2B24739C746F9A481ABB014B618A04D0F83E84JF65L" TargetMode="External"/><Relationship Id="rId17" Type="http://schemas.openxmlformats.org/officeDocument/2006/relationships/hyperlink" Target="consultantplus://offline/ref=73AB2CC8CA6510C1E01199D66D17D707ADAF67C09E13E4987F2CFA665D94346131183F882A2572912B6A8F5942B7085D7F8919CCFA3FJ86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AB2CC8CA6510C1E01199D66D17D707ADAF67C09E13E4987F2CFA665D94346131183F882A2A78912B6A8F5942B7085D7F8919CCFA3FJ86CL" TargetMode="External"/><Relationship Id="rId20" Type="http://schemas.openxmlformats.org/officeDocument/2006/relationships/hyperlink" Target="consultantplus://offline/ref=73AB2CC8CA6510C1E01199D66D17D707ADAF67C09E13E4987F2CFA665D94346131183F882A2A78912B6A8F5942B7085D7F8919CCFA3FJ86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B2CC8CA6510C1E01199D66D17D707ADAF67C09E13E4987F2CFA665D94346131183F8B2B2C789E78309F5D0BE30D42779407CDE43C85FDJ868L" TargetMode="External"/><Relationship Id="rId11" Type="http://schemas.openxmlformats.org/officeDocument/2006/relationships/hyperlink" Target="consultantplus://offline/ref=73AB2CC8CA6510C1E01199D66D17D707ADAF67C09E13E4987F2CFA665D94346131183F892C2B70912B6A8F5942B7085D7F8919CCFA3FJ86CL" TargetMode="External"/><Relationship Id="rId5" Type="http://schemas.openxmlformats.org/officeDocument/2006/relationships/hyperlink" Target="consultantplus://offline/ref=73AB2CC8CA6510C1E01199D66D17D707ADAF67C09E13E4987F2CFA665D94346131183F8B2B2C789979309F5D0BE30D42779407CDE43C85FDJ868L" TargetMode="External"/><Relationship Id="rId15" Type="http://schemas.openxmlformats.org/officeDocument/2006/relationships/hyperlink" Target="consultantplus://offline/ref=73AB2CC8CA6510C1E01199D66D17D707ADAF67C09E13E4987F2CFA665D94346131183F8B2B2C789D7B309F5D0BE30D42779407CDE43C85FDJ868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3AB2CC8CA6510C1E01199D66D17D707ADAF67C09E13E4987F2CFA665D94346131183F8F2D2A79912B6A8F5942B7085D7F8919CCFA3FJ86CL" TargetMode="External"/><Relationship Id="rId19" Type="http://schemas.openxmlformats.org/officeDocument/2006/relationships/hyperlink" Target="consultantplus://offline/ref=73AB2CC8CA6510C1E01199D66D17D707ADAF67C09E13E4987F2CFA665D94346131183F8B2B2C789D7B309F5D0BE30D42779407CDE43C85FDJ868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3AB2CC8CA6510C1E01199D66D17D707ADAF67C09E13E4987F2CFA665D94346131183F8B2B2C78937C309F5D0BE30D42779407CDE43C85FDJ868L" TargetMode="External"/><Relationship Id="rId14" Type="http://schemas.openxmlformats.org/officeDocument/2006/relationships/hyperlink" Target="consultantplus://offline/ref=73AB2CC8CA6510C1E01199D66D17D707ADAF67C09E13E4987F2CFA665D94346131183F832C2578912B6A8F5942B7085D7F8919CCFA3FJ86C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Валентина Викторовна</dc:creator>
  <cp:keywords/>
  <dc:description/>
  <cp:lastModifiedBy>Сорокина Валентина Викторовна</cp:lastModifiedBy>
  <cp:revision>1</cp:revision>
  <dcterms:created xsi:type="dcterms:W3CDTF">2019-03-18T11:58:00Z</dcterms:created>
  <dcterms:modified xsi:type="dcterms:W3CDTF">2019-03-18T11:59:00Z</dcterms:modified>
</cp:coreProperties>
</file>