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D7343" w:rsidRPr="0017258D">
        <w:tc>
          <w:tcPr>
            <w:tcW w:w="5103" w:type="dxa"/>
          </w:tcPr>
          <w:p w:rsidR="004D7343" w:rsidRPr="0017258D" w:rsidRDefault="001B36E7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17258D">
              <w:rPr>
                <w:sz w:val="28"/>
                <w:szCs w:val="28"/>
              </w:rPr>
              <w:t>16 декабря 2019 года</w:t>
            </w:r>
          </w:p>
        </w:tc>
        <w:tc>
          <w:tcPr>
            <w:tcW w:w="5103" w:type="dxa"/>
          </w:tcPr>
          <w:p w:rsidR="004D7343" w:rsidRPr="0017258D" w:rsidRDefault="0017258D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B36E7" w:rsidRPr="0017258D">
              <w:rPr>
                <w:sz w:val="28"/>
                <w:szCs w:val="28"/>
              </w:rPr>
              <w:t> 75-ОЗ</w:t>
            </w:r>
          </w:p>
        </w:tc>
      </w:tr>
    </w:tbl>
    <w:p w:rsidR="004D7343" w:rsidRPr="0017258D" w:rsidRDefault="004D73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4D7343" w:rsidRPr="0017258D" w:rsidRDefault="004D7343">
      <w:pPr>
        <w:pStyle w:val="ConsPlusNormal"/>
        <w:jc w:val="center"/>
        <w:rPr>
          <w:sz w:val="28"/>
          <w:szCs w:val="28"/>
        </w:rPr>
      </w:pPr>
    </w:p>
    <w:p w:rsidR="004D7343" w:rsidRPr="0017258D" w:rsidRDefault="001B3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4D7343" w:rsidRPr="0017258D" w:rsidRDefault="004D73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7343" w:rsidRPr="0017258D" w:rsidRDefault="001B3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ОБ ОБЛАСТНОМ БЮДЖЕТЕ НА 2020 ГОД И НА ПЛАНОВЫЙ ПЕРИОД</w:t>
      </w:r>
    </w:p>
    <w:p w:rsidR="004D7343" w:rsidRPr="0017258D" w:rsidRDefault="001B3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2021</w:t>
      </w:r>
      <w:proofErr w:type="gramStart"/>
      <w:r w:rsidRPr="0017258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7258D">
        <w:rPr>
          <w:rFonts w:ascii="Times New Roman" w:hAnsi="Times New Roman" w:cs="Times New Roman"/>
          <w:sz w:val="28"/>
          <w:szCs w:val="28"/>
        </w:rPr>
        <w:t xml:space="preserve"> 2022 ГОДОВ</w:t>
      </w:r>
    </w:p>
    <w:p w:rsidR="004D7343" w:rsidRPr="0017258D" w:rsidRDefault="004D7343">
      <w:pPr>
        <w:pStyle w:val="ConsPlusNormal"/>
        <w:rPr>
          <w:sz w:val="28"/>
          <w:szCs w:val="28"/>
        </w:rPr>
      </w:pPr>
    </w:p>
    <w:p w:rsidR="004D7343" w:rsidRPr="0017258D" w:rsidRDefault="001B36E7">
      <w:pPr>
        <w:pStyle w:val="ConsPlusNormal"/>
        <w:jc w:val="right"/>
        <w:rPr>
          <w:sz w:val="28"/>
          <w:szCs w:val="28"/>
        </w:rPr>
      </w:pPr>
      <w:proofErr w:type="gramStart"/>
      <w:r w:rsidRPr="0017258D">
        <w:rPr>
          <w:sz w:val="28"/>
          <w:szCs w:val="28"/>
        </w:rPr>
        <w:t>Принят</w:t>
      </w:r>
      <w:proofErr w:type="gramEnd"/>
    </w:p>
    <w:p w:rsidR="004D7343" w:rsidRPr="0017258D" w:rsidRDefault="001B36E7">
      <w:pPr>
        <w:pStyle w:val="ConsPlusNormal"/>
        <w:jc w:val="right"/>
        <w:rPr>
          <w:sz w:val="28"/>
          <w:szCs w:val="28"/>
        </w:rPr>
      </w:pPr>
      <w:r w:rsidRPr="0017258D">
        <w:rPr>
          <w:sz w:val="28"/>
          <w:szCs w:val="28"/>
        </w:rPr>
        <w:t>Ивановской областной Думой</w:t>
      </w:r>
    </w:p>
    <w:p w:rsidR="004D7343" w:rsidRPr="0017258D" w:rsidRDefault="001B36E7">
      <w:pPr>
        <w:pStyle w:val="ConsPlusNormal"/>
        <w:jc w:val="right"/>
        <w:rPr>
          <w:sz w:val="28"/>
          <w:szCs w:val="28"/>
        </w:rPr>
      </w:pPr>
      <w:r w:rsidRPr="0017258D">
        <w:rPr>
          <w:sz w:val="28"/>
          <w:szCs w:val="28"/>
        </w:rPr>
        <w:t>12 декабря 2019 года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Настоящий Закон принят в соответствии с Бюджетным </w:t>
      </w:r>
      <w:hyperlink r:id="rId4" w:history="1">
        <w:r w:rsidRPr="0017258D">
          <w:rPr>
            <w:sz w:val="28"/>
            <w:szCs w:val="28"/>
          </w:rPr>
          <w:t>кодексом</w:t>
        </w:r>
      </w:hyperlink>
      <w:r w:rsidRPr="0017258D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17258D">
          <w:rPr>
            <w:sz w:val="28"/>
            <w:szCs w:val="28"/>
          </w:rPr>
          <w:t>законом</w:t>
        </w:r>
      </w:hyperlink>
      <w:r w:rsidRPr="0017258D">
        <w:rPr>
          <w:sz w:val="28"/>
          <w:szCs w:val="28"/>
        </w:rPr>
        <w:t xml:space="preserve"> от 06.10.1999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184-ФЗ </w:t>
      </w:r>
      <w:r w:rsidR="0017258D">
        <w:rPr>
          <w:sz w:val="28"/>
          <w:szCs w:val="28"/>
        </w:rPr>
        <w:t>«</w:t>
      </w:r>
      <w:r w:rsidRPr="0017258D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7258D">
        <w:rPr>
          <w:sz w:val="28"/>
          <w:szCs w:val="28"/>
        </w:rPr>
        <w:t>»</w:t>
      </w:r>
      <w:r w:rsidRPr="0017258D">
        <w:rPr>
          <w:sz w:val="28"/>
          <w:szCs w:val="28"/>
        </w:rPr>
        <w:t xml:space="preserve">, </w:t>
      </w:r>
      <w:hyperlink r:id="rId6" w:history="1">
        <w:r w:rsidRPr="0017258D">
          <w:rPr>
            <w:sz w:val="28"/>
            <w:szCs w:val="28"/>
          </w:rPr>
          <w:t>Уставом</w:t>
        </w:r>
      </w:hyperlink>
      <w:r w:rsidRPr="0017258D">
        <w:rPr>
          <w:sz w:val="28"/>
          <w:szCs w:val="28"/>
        </w:rPr>
        <w:t xml:space="preserve"> Ивановской области в целях регулирования бюджетных правоотношений.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17258D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2020 год и на плановый период 2021 и 2022 годов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Утвердить основные характеристики областного бюджета: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1. На 2020 год, определенные исходя из прогнозируемого объема валового регионального продукта в размере 224819,3 </w:t>
      </w:r>
      <w:proofErr w:type="spellStart"/>
      <w:proofErr w:type="gramStart"/>
      <w:r w:rsidRPr="0017258D">
        <w:rPr>
          <w:sz w:val="28"/>
          <w:szCs w:val="28"/>
        </w:rPr>
        <w:t>млн</w:t>
      </w:r>
      <w:proofErr w:type="spellEnd"/>
      <w:proofErr w:type="gramEnd"/>
      <w:r w:rsidRPr="0017258D">
        <w:rPr>
          <w:sz w:val="28"/>
          <w:szCs w:val="28"/>
        </w:rPr>
        <w:t xml:space="preserve"> руб. и уровня инфляции 4,2 процента (декабрь 2020 года к декабрю 2019 года):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общий объем доходов областного бюджета в сумме 48398915599,17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общий объем расходов областного бюджета в сумме 49711482676,12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дефицит областного бюджета в сумме 1312567076,95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2. На 2021 год, определенные исходя из прогнозируемого объема валового регионального продукта в размере 240130,0 </w:t>
      </w:r>
      <w:proofErr w:type="spellStart"/>
      <w:proofErr w:type="gramStart"/>
      <w:r w:rsidRPr="0017258D">
        <w:rPr>
          <w:sz w:val="28"/>
          <w:szCs w:val="28"/>
        </w:rPr>
        <w:t>млн</w:t>
      </w:r>
      <w:proofErr w:type="spellEnd"/>
      <w:proofErr w:type="gramEnd"/>
      <w:r w:rsidRPr="0017258D">
        <w:rPr>
          <w:sz w:val="28"/>
          <w:szCs w:val="28"/>
        </w:rPr>
        <w:t xml:space="preserve"> руб. и уровня инфляции 4,0 процента (декабрь 2021 года к декабрю 2020 года):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общий объем доходов областного бюджета в сумме 43455785841,95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общий объем расходов областного бюджета в сумме 42396616665,33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3) </w:t>
      </w:r>
      <w:proofErr w:type="spellStart"/>
      <w:r w:rsidRPr="0017258D">
        <w:rPr>
          <w:sz w:val="28"/>
          <w:szCs w:val="28"/>
        </w:rPr>
        <w:t>профицит</w:t>
      </w:r>
      <w:proofErr w:type="spellEnd"/>
      <w:r w:rsidRPr="0017258D">
        <w:rPr>
          <w:sz w:val="28"/>
          <w:szCs w:val="28"/>
        </w:rPr>
        <w:t xml:space="preserve"> областного бюджета в сумме 1059169176,62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3. На 2022 год, определенные исходя из прогнозируемого объема валового </w:t>
      </w:r>
      <w:r w:rsidRPr="0017258D">
        <w:rPr>
          <w:sz w:val="28"/>
          <w:szCs w:val="28"/>
        </w:rPr>
        <w:lastRenderedPageBreak/>
        <w:t xml:space="preserve">регионального продукта в размере 255248,5 </w:t>
      </w:r>
      <w:proofErr w:type="spellStart"/>
      <w:proofErr w:type="gramStart"/>
      <w:r w:rsidRPr="0017258D">
        <w:rPr>
          <w:sz w:val="28"/>
          <w:szCs w:val="28"/>
        </w:rPr>
        <w:t>млн</w:t>
      </w:r>
      <w:proofErr w:type="spellEnd"/>
      <w:proofErr w:type="gramEnd"/>
      <w:r w:rsidRPr="0017258D">
        <w:rPr>
          <w:sz w:val="28"/>
          <w:szCs w:val="28"/>
        </w:rPr>
        <w:t xml:space="preserve"> руб. и уровня инфляции 4,0 процента (декабрь 2022 года к декабрю 2021 года):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общий объем доходов областного бюджета в сумме 45429458769,57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общий объем расходов областного бюджета в сумме 44106406470,17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3) </w:t>
      </w:r>
      <w:proofErr w:type="spellStart"/>
      <w:r w:rsidRPr="0017258D">
        <w:rPr>
          <w:sz w:val="28"/>
          <w:szCs w:val="28"/>
        </w:rPr>
        <w:t>профицит</w:t>
      </w:r>
      <w:proofErr w:type="spellEnd"/>
      <w:r w:rsidRPr="0017258D">
        <w:rPr>
          <w:sz w:val="28"/>
          <w:szCs w:val="28"/>
        </w:rPr>
        <w:t xml:space="preserve"> областного бюджета в сумме 1323052299,40 руб.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1. Утвердить </w:t>
      </w:r>
      <w:hyperlink r:id="rId7" w:history="1">
        <w:r w:rsidRPr="0017258D">
          <w:rPr>
            <w:sz w:val="28"/>
            <w:szCs w:val="28"/>
          </w:rPr>
          <w:t>нормативы</w:t>
        </w:r>
      </w:hyperlink>
      <w:r w:rsidRPr="0017258D">
        <w:rPr>
          <w:sz w:val="28"/>
          <w:szCs w:val="28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 годов согласно приложению 1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2. </w:t>
      </w:r>
      <w:proofErr w:type="gramStart"/>
      <w:r w:rsidRPr="0017258D">
        <w:rPr>
          <w:sz w:val="28"/>
          <w:szCs w:val="28"/>
        </w:rPr>
        <w:t xml:space="preserve">Установить дифференцированные </w:t>
      </w:r>
      <w:hyperlink r:id="rId8" w:history="1">
        <w:r w:rsidRPr="0017258D">
          <w:rPr>
            <w:sz w:val="28"/>
            <w:szCs w:val="28"/>
          </w:rPr>
          <w:t>нормативы</w:t>
        </w:r>
      </w:hyperlink>
      <w:r w:rsidRPr="0017258D">
        <w:rPr>
          <w:sz w:val="28"/>
          <w:szCs w:val="28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7258D">
        <w:rPr>
          <w:sz w:val="28"/>
          <w:szCs w:val="28"/>
        </w:rPr>
        <w:t>инжекторных</w:t>
      </w:r>
      <w:proofErr w:type="spellEnd"/>
      <w:r w:rsidRPr="0017258D">
        <w:rPr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2020 год и на плановый период 2021 и 2022 годов согласно приложению 2 к настоящему Закону.</w:t>
      </w:r>
      <w:proofErr w:type="gramEnd"/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1. Утвердить </w:t>
      </w:r>
      <w:hyperlink r:id="rId9" w:history="1">
        <w:r w:rsidRPr="0017258D">
          <w:rPr>
            <w:sz w:val="28"/>
            <w:szCs w:val="28"/>
          </w:rPr>
          <w:t>доходы</w:t>
        </w:r>
      </w:hyperlink>
      <w:r w:rsidRPr="0017258D">
        <w:rPr>
          <w:sz w:val="28"/>
          <w:szCs w:val="28"/>
        </w:rPr>
        <w:t xml:space="preserve"> областного бюджета по кодам классификации доходов бюджетов на 2020 год и на плановый период 2021 и 2022 годов согласно приложению 3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2. Утвердить в пределах общего объема доходов областного бюджета, утвержденного </w:t>
      </w:r>
      <w:hyperlink w:anchor="Par14" w:tooltip="Статья 1. Основные характеристики областного бюджета на 2020 год и на плановый период 2021 и 2022 годов" w:history="1">
        <w:r w:rsidRPr="0017258D">
          <w:rPr>
            <w:sz w:val="28"/>
            <w:szCs w:val="28"/>
          </w:rPr>
          <w:t>статьей 1</w:t>
        </w:r>
      </w:hyperlink>
      <w:r w:rsidRPr="0017258D">
        <w:rPr>
          <w:sz w:val="28"/>
          <w:szCs w:val="28"/>
        </w:rPr>
        <w:t xml:space="preserve"> настоящего Закона, объем межбюджетных трансфертов, получаемых из федерального бюджета: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в сумме 24711561577,72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в сумме 17797308177,72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в сумме 17452978477,72 руб.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4. Главные администраторы доходов областного бюджета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Утвердить </w:t>
      </w:r>
      <w:hyperlink r:id="rId10" w:history="1">
        <w:r w:rsidRPr="0017258D">
          <w:rPr>
            <w:sz w:val="28"/>
            <w:szCs w:val="28"/>
          </w:rPr>
          <w:t>перечень</w:t>
        </w:r>
      </w:hyperlink>
      <w:r w:rsidRPr="0017258D">
        <w:rPr>
          <w:sz w:val="28"/>
          <w:szCs w:val="28"/>
        </w:rPr>
        <w:t xml:space="preserve"> главных администраторов доходов областного бюджета, закрепляемые за ними виды (подвиды) доходов областного бюджета на 2020 год и на </w:t>
      </w:r>
      <w:r w:rsidRPr="0017258D">
        <w:rPr>
          <w:sz w:val="28"/>
          <w:szCs w:val="28"/>
        </w:rPr>
        <w:lastRenderedPageBreak/>
        <w:t>плановый период 2021 и 2022 годов согласно приложению 4 к настоящему Закону.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5. Главные администраторы доходов местных бюджетов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Закрепить </w:t>
      </w:r>
      <w:hyperlink r:id="rId11" w:history="1">
        <w:r w:rsidRPr="0017258D">
          <w:rPr>
            <w:sz w:val="28"/>
            <w:szCs w:val="28"/>
          </w:rPr>
          <w:t>источники</w:t>
        </w:r>
      </w:hyperlink>
      <w:r w:rsidRPr="0017258D">
        <w:rPr>
          <w:sz w:val="28"/>
          <w:szCs w:val="28"/>
        </w:rPr>
        <w:t xml:space="preserve"> доходов местных бюджетов за главными администраторами доходов - исполнительными органами государственной власти Ивановской области на 2020 год и на плановый период 2021 и 2022 годов согласно приложению 5 к настоящему Закону.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6. Источники внутреннего финансирования дефицита областного бюджета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Утвердить </w:t>
      </w:r>
      <w:hyperlink r:id="rId12" w:history="1">
        <w:r w:rsidRPr="0017258D">
          <w:rPr>
            <w:sz w:val="28"/>
            <w:szCs w:val="28"/>
          </w:rPr>
          <w:t>источники</w:t>
        </w:r>
      </w:hyperlink>
      <w:r w:rsidRPr="0017258D">
        <w:rPr>
          <w:sz w:val="28"/>
          <w:szCs w:val="28"/>
        </w:rPr>
        <w:t xml:space="preserve"> внутреннего финансирования дефицита областного бюджета на 2020 год и на плановый период 2021 и 2022 годов согласно приложению 6 к настоящему Закону.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7. Главные администраторы источников внутреннего финансирования дефицита областного бюджета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Утвердить </w:t>
      </w:r>
      <w:hyperlink r:id="rId13" w:history="1">
        <w:r w:rsidRPr="0017258D">
          <w:rPr>
            <w:sz w:val="28"/>
            <w:szCs w:val="28"/>
          </w:rPr>
          <w:t>перечень</w:t>
        </w:r>
      </w:hyperlink>
      <w:r w:rsidRPr="0017258D">
        <w:rPr>
          <w:sz w:val="28"/>
          <w:szCs w:val="28"/>
        </w:rPr>
        <w:t xml:space="preserve"> главных </w:t>
      </w:r>
      <w:proofErr w:type="gramStart"/>
      <w:r w:rsidRPr="0017258D">
        <w:rPr>
          <w:sz w:val="28"/>
          <w:szCs w:val="28"/>
        </w:rPr>
        <w:t>администраторов источников внутреннего финансирования дефицита областного бюджета</w:t>
      </w:r>
      <w:proofErr w:type="gramEnd"/>
      <w:r w:rsidRPr="0017258D">
        <w:rPr>
          <w:sz w:val="28"/>
          <w:szCs w:val="28"/>
        </w:rPr>
        <w:t xml:space="preserve"> на 2020 год и на плановый период 2021 и 2022 годов согласно приложению 7 к настоящему Закону.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8. Бюджетные ассигнования областного бюджета на 2020 год и на плановый период 2021 и 2022 годов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</w:t>
      </w:r>
      <w:proofErr w:type="gramStart"/>
      <w:r w:rsidRPr="0017258D">
        <w:rPr>
          <w:sz w:val="28"/>
          <w:szCs w:val="28"/>
        </w:rPr>
        <w:t>видов расходов классификации расходов областного бюджета</w:t>
      </w:r>
      <w:proofErr w:type="gramEnd"/>
      <w:r w:rsidRPr="0017258D">
        <w:rPr>
          <w:sz w:val="28"/>
          <w:szCs w:val="28"/>
        </w:rPr>
        <w:t>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1) на 2020 год согласно </w:t>
      </w:r>
      <w:hyperlink r:id="rId14" w:history="1">
        <w:r w:rsidRPr="0017258D">
          <w:rPr>
            <w:sz w:val="28"/>
            <w:szCs w:val="28"/>
          </w:rPr>
          <w:t>приложению 8</w:t>
        </w:r>
      </w:hyperlink>
      <w:r w:rsidRPr="0017258D">
        <w:rPr>
          <w:sz w:val="28"/>
          <w:szCs w:val="28"/>
        </w:rPr>
        <w:t xml:space="preserve"> к настоящему Закону;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2) на плановый период 2021 и 2022 годов согласно </w:t>
      </w:r>
      <w:hyperlink r:id="rId15" w:history="1">
        <w:r w:rsidRPr="0017258D">
          <w:rPr>
            <w:sz w:val="28"/>
            <w:szCs w:val="28"/>
          </w:rPr>
          <w:t>приложению 9</w:t>
        </w:r>
      </w:hyperlink>
      <w:r w:rsidRPr="0017258D">
        <w:rPr>
          <w:sz w:val="28"/>
          <w:szCs w:val="28"/>
        </w:rPr>
        <w:t xml:space="preserve">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2. Утвердить ведомственную структуру расходов областного бюджета: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1) на 2020 год согласно </w:t>
      </w:r>
      <w:hyperlink r:id="rId16" w:history="1">
        <w:r w:rsidRPr="0017258D">
          <w:rPr>
            <w:sz w:val="28"/>
            <w:szCs w:val="28"/>
          </w:rPr>
          <w:t>приложению 10</w:t>
        </w:r>
      </w:hyperlink>
      <w:r w:rsidRPr="0017258D">
        <w:rPr>
          <w:sz w:val="28"/>
          <w:szCs w:val="28"/>
        </w:rPr>
        <w:t xml:space="preserve"> к настоящему Закону;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2) на плановый период 2021 и 2022 годов согласно </w:t>
      </w:r>
      <w:hyperlink r:id="rId17" w:history="1">
        <w:r w:rsidRPr="0017258D">
          <w:rPr>
            <w:sz w:val="28"/>
            <w:szCs w:val="28"/>
          </w:rPr>
          <w:t>приложению 11</w:t>
        </w:r>
      </w:hyperlink>
      <w:r w:rsidRPr="0017258D">
        <w:rPr>
          <w:sz w:val="28"/>
          <w:szCs w:val="28"/>
        </w:rPr>
        <w:t xml:space="preserve">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lastRenderedPageBreak/>
        <w:t xml:space="preserve">3. Утвердить в пределах общего объема расходов областного бюджета, утвержденного </w:t>
      </w:r>
      <w:hyperlink w:anchor="Par14" w:tooltip="Статья 1. Основные характеристики областного бюджета на 2020 год и на плановый период 2021 и 2022 годов" w:history="1">
        <w:r w:rsidRPr="0017258D">
          <w:rPr>
            <w:sz w:val="28"/>
            <w:szCs w:val="28"/>
          </w:rPr>
          <w:t>статьей 1</w:t>
        </w:r>
      </w:hyperlink>
      <w:r w:rsidRPr="0017258D">
        <w:rPr>
          <w:sz w:val="28"/>
          <w:szCs w:val="28"/>
        </w:rPr>
        <w:t xml:space="preserve"> настоящего Закона: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общий объем условно утвержденных расходов: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на 2021 год в сумме 1183000000,00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на 2022 год в сумме 2200000000,00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на 2020 год в сумме 3783626198,01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на 2021 год в сумме 3025818076,14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в) на 2022 год в сумме 3092337496,86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4. Установить размер резервного фонда Правительства Ивановской области: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в сумме 1300000000,00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в сумме 100000000,00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в сумме 100000000,00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в сумме 6129787866,66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в сумме 5897351767,01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в сумме 6246683085,71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6. Утвердить </w:t>
      </w:r>
      <w:hyperlink r:id="rId18" w:history="1">
        <w:r w:rsidRPr="0017258D">
          <w:rPr>
            <w:sz w:val="28"/>
            <w:szCs w:val="28"/>
          </w:rPr>
          <w:t>распределение</w:t>
        </w:r>
      </w:hyperlink>
      <w:r w:rsidRPr="0017258D">
        <w:rPr>
          <w:sz w:val="28"/>
          <w:szCs w:val="28"/>
        </w:rPr>
        <w:t xml:space="preserve"> бюджетных ассигнований областного бюджета по разделам и подразделам классификации расходов бюджетов на 2020 год и на плановый период 2021 и 2022 годов согласно приложению 12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7. Утвердить </w:t>
      </w:r>
      <w:hyperlink r:id="rId19" w:history="1">
        <w:r w:rsidRPr="0017258D">
          <w:rPr>
            <w:sz w:val="28"/>
            <w:szCs w:val="28"/>
          </w:rPr>
          <w:t>объемы</w:t>
        </w:r>
      </w:hyperlink>
      <w:r w:rsidRPr="0017258D">
        <w:rPr>
          <w:sz w:val="28"/>
          <w:szCs w:val="28"/>
        </w:rPr>
        <w:t xml:space="preserve"> бюджетных ассигнований, направляемых на государственную поддержку семьи и детей, на 2020 год и на плановый период 2021 и 2022 годов согласно приложению 13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8. Установить, что: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</w:t>
      </w:r>
      <w:r w:rsidRPr="0017258D">
        <w:rPr>
          <w:sz w:val="28"/>
          <w:szCs w:val="28"/>
        </w:rPr>
        <w:lastRenderedPageBreak/>
        <w:t>области, в случаях, если расходы на их предоставление предусмотрены государственными программами Ивановской области;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9. Особенности установления отдельных расходных обязательств Ивановской области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1. Установить, что в 2020 году обеспечение питанием спасателей поисково-спасательного отряда областного государственного казенного учреждения </w:t>
      </w:r>
      <w:r w:rsidR="0017258D">
        <w:rPr>
          <w:sz w:val="28"/>
          <w:szCs w:val="28"/>
        </w:rPr>
        <w:t>«</w:t>
      </w:r>
      <w:r w:rsidRPr="0017258D">
        <w:rPr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 w:rsidR="0017258D">
        <w:rPr>
          <w:sz w:val="28"/>
          <w:szCs w:val="28"/>
        </w:rPr>
        <w:t>»</w:t>
      </w:r>
      <w:r w:rsidRPr="0017258D">
        <w:rPr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2. </w:t>
      </w:r>
      <w:proofErr w:type="gramStart"/>
      <w:r w:rsidRPr="0017258D">
        <w:rPr>
          <w:sz w:val="28"/>
          <w:szCs w:val="28"/>
        </w:rPr>
        <w:t>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  <w:proofErr w:type="gramEnd"/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- 44917,00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- 44917,00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- 44917,00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3. Определить с 01.01.2020 с учетом размера индексации 1,042 размеры подлежащих ежегодной индексации: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денежных выплат: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ветеранам труда, ветеранам труда Ивановской области - 422,05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труженикам тыла - 617,64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в) реабилитированным лицам - 658,81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г) лицам, признанным пострадавшими от политических репрессий, - 534,14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пособия на ребенка - 269,93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lastRenderedPageBreak/>
        <w:t>3) регионального студенческого (материнского) капитала - 56622,49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4) единовременной выплаты на улучшение жилищных условий - 113244,98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5) выплаты на содержание ребенка, переданного на патронат, - 6726,54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6)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- 5891,58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7) опекунского пособия, выплаты на содержание ребенка, переданного на воспитание в приемную семью, - 6188,96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8)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- 648,52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4. Определить с 01.01.2021 с учетом размера индексации 1,04 размеры подлежащих ежегодной индексации: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денежных выплат: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ветеранам труда, ветеранам труда Ивановской области - 438,93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труженикам тыла - 642,35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в) реабилитированным лицам - 685,16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г) лицам, признанным пострадавшими от политических репрессий, - 555,51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пособия на ребенка - 280,73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регионального студенческого (материнского) капитала - 58887,39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4) единовременной выплаты на улучшение жилищных условий - 117774,78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5) выплаты на содержание ребенка, переданного на патронат, - 6995,60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6)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- 6127,24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7) опекунского пособия, выплаты на содержание ребенка, переданного на воспитание в приемную семью, - 6436,52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8) денежной выплаты работникам учреждений социальной сферы в сельской </w:t>
      </w:r>
      <w:r w:rsidRPr="0017258D">
        <w:rPr>
          <w:sz w:val="28"/>
          <w:szCs w:val="28"/>
        </w:rPr>
        <w:lastRenderedPageBreak/>
        <w:t>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- 674,46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5. Определить с 01.01.2022 с учетом размера индексации 1,04 размеры подлежащих ежегодной индексации: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денежных выплат: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ветеранам труда, ветеранам труда Ивановской области - 456,49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труженикам тыла - 668,04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в) реабилитированным лицам - 712,57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г) лицам, признанным пострадавшими от политических репрессий, - 577,73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пособия на ребенка - 291,96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регионального студенческого (материнского) капитала - 61242,89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4) единовременной выплаты на улучшение жилищных условий - 122 485,77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5) выплаты на содержание ребенка, переданного на патронат, - 7275,42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6)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- 6372,33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7) опекунского пособия, выплаты на содержание ребенка, переданного на воспитание в приемную семью, - 6693,98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8)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- 701,44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6. </w:t>
      </w:r>
      <w:proofErr w:type="gramStart"/>
      <w:r w:rsidRPr="0017258D">
        <w:rPr>
          <w:sz w:val="28"/>
          <w:szCs w:val="28"/>
        </w:rPr>
        <w:t>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</w:t>
      </w:r>
      <w:proofErr w:type="gramEnd"/>
      <w:r w:rsidRPr="0017258D">
        <w:rPr>
          <w:sz w:val="28"/>
          <w:szCs w:val="28"/>
        </w:rPr>
        <w:t xml:space="preserve"> присвоенными им классными чинами государственной гражданской службы Ивановской области с 1 </w:t>
      </w:r>
      <w:r w:rsidRPr="0017258D">
        <w:rPr>
          <w:sz w:val="28"/>
          <w:szCs w:val="28"/>
        </w:rPr>
        <w:lastRenderedPageBreak/>
        <w:t>октября 2020 года равного 1,042.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10. Межбюджетные трансферты, предоставляемые другим бюджетам бюджетной системы Российской Федерации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2020 году в сумме 16431820866,98 руб., в 2021 году в сумме 14072044075,49 руб., в 2022 году в сумме 13896765693,50 руб., в том числе: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бюджетам муниципальных образований: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в 2020 году в сумме 16332754666,98 руб., в том числе: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дотаций - 4364396800,00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субсидий - 4546264214,97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субвенций - 6095431152,01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иных межбюджетных трансфертов - 1326662500,00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в 2021 году в сумме 13976977875,49 руб., в том числе: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дотаций - 3397105641,00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субсидий - 3885199347,41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субвенций - 6076967887,08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иных межбюджетных трансфертов - 617705000,00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в) в 2022 году в сумме 13801699493,50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дотаций - 3397105641,00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субсидий - 3715642365,42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субвенций - 6079656487,08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иных межбюджетных трансфертов - 609295000,00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бюджетам государственных внебюджетных фондов: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а) в 2020 году в сумме 99066200,00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б) в 2021 году в сумме 95066200,00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lastRenderedPageBreak/>
        <w:t>в) в 2022 году в сумме 95066200,00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2. Установить значения: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2020 год 2,35, на 2021 и 2022 годы 2,15;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2020 год 3,75, на 2021 и 2022 годы 3,56;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2020 год 1,71, 2021 и 2022 годы 1,62.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в сумме 771111400,00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в сумме 715061941,00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в сумме 715061941,00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в сумме 3001121400,00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в сумме 2682043700,00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в сумме 2682043700,00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5. Утвердить </w:t>
      </w:r>
      <w:hyperlink r:id="rId20" w:history="1">
        <w:r w:rsidRPr="0017258D">
          <w:rPr>
            <w:sz w:val="28"/>
            <w:szCs w:val="28"/>
          </w:rPr>
          <w:t>перечень</w:t>
        </w:r>
      </w:hyperlink>
      <w:r w:rsidRPr="0017258D">
        <w:rPr>
          <w:sz w:val="28"/>
          <w:szCs w:val="28"/>
        </w:rPr>
        <w:t xml:space="preserve"> субсидий бюджетам муниципальных образований, предоставляемых из областного бюджета в целях </w:t>
      </w:r>
      <w:proofErr w:type="spellStart"/>
      <w:r w:rsidRPr="0017258D">
        <w:rPr>
          <w:sz w:val="28"/>
          <w:szCs w:val="28"/>
        </w:rPr>
        <w:t>софинансирования</w:t>
      </w:r>
      <w:proofErr w:type="spellEnd"/>
      <w:r w:rsidRPr="0017258D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2020 год и на плановый период 2021 и 2022 годов согласно приложению 14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6. Утвердить </w:t>
      </w:r>
      <w:hyperlink r:id="rId21" w:history="1">
        <w:r w:rsidRPr="0017258D">
          <w:rPr>
            <w:sz w:val="28"/>
            <w:szCs w:val="28"/>
          </w:rPr>
          <w:t>распределение</w:t>
        </w:r>
      </w:hyperlink>
      <w:r w:rsidRPr="0017258D">
        <w:rPr>
          <w:sz w:val="28"/>
          <w:szCs w:val="28"/>
        </w:rPr>
        <w:t xml:space="preserve"> межбюджетных трансфертов бюджетам муниципальных образований на 2020 год и на плановый период 2021 и 2022 годов согласно приложению 15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7. Установить, что распределение субсидий и иных межбюджетных трансфертов бюджетам муниципальных образований, предусмотренных в рамках реализации </w:t>
      </w:r>
      <w:r w:rsidRPr="0017258D">
        <w:rPr>
          <w:sz w:val="28"/>
          <w:szCs w:val="28"/>
        </w:rPr>
        <w:lastRenderedPageBreak/>
        <w:t xml:space="preserve">государственных программ Ивановской области настоящим Законом, за исключением субсидий и иных межбюджетных трансфертов, </w:t>
      </w:r>
      <w:hyperlink r:id="rId22" w:history="1">
        <w:r w:rsidRPr="0017258D">
          <w:rPr>
            <w:sz w:val="28"/>
            <w:szCs w:val="28"/>
          </w:rPr>
          <w:t>распределение</w:t>
        </w:r>
      </w:hyperlink>
      <w:r w:rsidRPr="0017258D">
        <w:rPr>
          <w:sz w:val="28"/>
          <w:szCs w:val="28"/>
        </w:rPr>
        <w:t xml:space="preserve"> которых утверждено приложением 15 к настоящему Закону, утверждается Правительством Ивановской области.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8.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9. </w:t>
      </w:r>
      <w:proofErr w:type="gramStart"/>
      <w:r w:rsidRPr="0017258D">
        <w:rPr>
          <w:sz w:val="28"/>
          <w:szCs w:val="28"/>
        </w:rPr>
        <w:t>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осуществляются на основании решений главных распорядителей средств областного бюджета</w:t>
      </w:r>
      <w:proofErr w:type="gramEnd"/>
      <w:r w:rsidRPr="0017258D">
        <w:rPr>
          <w:sz w:val="28"/>
          <w:szCs w:val="28"/>
        </w:rPr>
        <w:t xml:space="preserve"> Управлением Федерального казначейства по Ивановской области в отношении: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77"/>
      <w:bookmarkEnd w:id="1"/>
      <w:r w:rsidRPr="0017258D">
        <w:rPr>
          <w:sz w:val="28"/>
          <w:szCs w:val="28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межбюджетных трансфертов, за исключением указанных в </w:t>
      </w:r>
      <w:hyperlink w:anchor="Par177" w:tooltip="всех межбюджетных трансфертов, источником финансового обеспечения которых являются средства федерального бюджета;" w:history="1">
        <w:r w:rsidRPr="0017258D">
          <w:rPr>
            <w:sz w:val="28"/>
            <w:szCs w:val="28"/>
          </w:rPr>
          <w:t>абзаце втором</w:t>
        </w:r>
      </w:hyperlink>
      <w:r w:rsidRPr="0017258D">
        <w:rPr>
          <w:sz w:val="28"/>
          <w:szCs w:val="28"/>
        </w:rPr>
        <w:t xml:space="preserve"> настоящей части и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При этом перечисление субсидий производится в доле, соответствующей уровню </w:t>
      </w:r>
      <w:proofErr w:type="spellStart"/>
      <w:r w:rsidRPr="0017258D">
        <w:rPr>
          <w:sz w:val="28"/>
          <w:szCs w:val="28"/>
        </w:rPr>
        <w:t>софинансирования</w:t>
      </w:r>
      <w:proofErr w:type="spellEnd"/>
      <w:r w:rsidRPr="0017258D">
        <w:rPr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11. Особенности исполнения областного бюджета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1. Установить, что остатки субсидий, предоставленных в 2019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2020 года возврату в областной бюджет в соответствии с порядком, установленным Правительством Ивановской области.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lastRenderedPageBreak/>
        <w:t>2. Установить,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1) субсидий, предоставляемых из областного бюджета некоммерческим организациям </w:t>
      </w:r>
      <w:r w:rsidR="0017258D">
        <w:rPr>
          <w:sz w:val="28"/>
          <w:szCs w:val="28"/>
        </w:rPr>
        <w:t>«</w:t>
      </w:r>
      <w:r w:rsidRPr="0017258D">
        <w:rPr>
          <w:sz w:val="28"/>
          <w:szCs w:val="28"/>
        </w:rPr>
        <w:t>Региональный фонд капитального ремонта многоквартирных домов Ивановской области</w:t>
      </w:r>
      <w:r w:rsidR="0017258D">
        <w:rPr>
          <w:sz w:val="28"/>
          <w:szCs w:val="28"/>
        </w:rPr>
        <w:t>»</w:t>
      </w:r>
      <w:r w:rsidRPr="0017258D">
        <w:rPr>
          <w:sz w:val="28"/>
          <w:szCs w:val="28"/>
        </w:rPr>
        <w:t xml:space="preserve"> и </w:t>
      </w:r>
      <w:r w:rsidR="0017258D">
        <w:rPr>
          <w:sz w:val="28"/>
          <w:szCs w:val="28"/>
        </w:rPr>
        <w:t>«</w:t>
      </w:r>
      <w:r w:rsidRPr="0017258D">
        <w:rPr>
          <w:sz w:val="28"/>
          <w:szCs w:val="28"/>
        </w:rPr>
        <w:t>Региональный Фонд развития промышленности Ивановской области</w:t>
      </w:r>
      <w:r w:rsidR="0017258D">
        <w:rPr>
          <w:sz w:val="28"/>
          <w:szCs w:val="28"/>
        </w:rPr>
        <w:t>»</w:t>
      </w:r>
      <w:r w:rsidRPr="0017258D">
        <w:rPr>
          <w:sz w:val="28"/>
          <w:szCs w:val="28"/>
        </w:rPr>
        <w:t xml:space="preserve"> на обеспечение их деятельности,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7258D">
        <w:rPr>
          <w:sz w:val="28"/>
          <w:szCs w:val="28"/>
        </w:rPr>
        <w:t xml:space="preserve">2) субсидий (грантов в форме субсидий), предоставляемых из областного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предоставляемые из федерального бюджета бюджету Ивановской области в целях </w:t>
      </w:r>
      <w:proofErr w:type="spellStart"/>
      <w:r w:rsidRPr="0017258D">
        <w:rPr>
          <w:sz w:val="28"/>
          <w:szCs w:val="28"/>
        </w:rPr>
        <w:t>софинансирования</w:t>
      </w:r>
      <w:proofErr w:type="spellEnd"/>
      <w:r w:rsidRPr="0017258D">
        <w:rPr>
          <w:sz w:val="28"/>
          <w:szCs w:val="28"/>
        </w:rPr>
        <w:t xml:space="preserve"> расходных обязательств Ивановской области по поддержке отраслей промышленности и сельского хозяйства, а также авансовых платежей по контрактам (договорам), источником финансового обеспечения которых являются</w:t>
      </w:r>
      <w:proofErr w:type="gramEnd"/>
      <w:r w:rsidRPr="0017258D">
        <w:rPr>
          <w:sz w:val="28"/>
          <w:szCs w:val="28"/>
        </w:rPr>
        <w:t xml:space="preserve"> указанные субсидии.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3. Установить, что остатки средств областного бюджета на начало текущего финансового года: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7258D">
        <w:rPr>
          <w:sz w:val="28"/>
          <w:szCs w:val="28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  <w:proofErr w:type="gramEnd"/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189"/>
      <w:bookmarkEnd w:id="2"/>
      <w:proofErr w:type="gramStart"/>
      <w:r w:rsidRPr="0017258D">
        <w:rPr>
          <w:sz w:val="28"/>
          <w:szCs w:val="28"/>
        </w:rPr>
        <w:t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</w:t>
      </w:r>
      <w:proofErr w:type="gramEnd"/>
      <w:r w:rsidRPr="0017258D">
        <w:rPr>
          <w:sz w:val="28"/>
          <w:szCs w:val="28"/>
        </w:rPr>
        <w:t xml:space="preserve"> </w:t>
      </w:r>
      <w:proofErr w:type="spellStart"/>
      <w:proofErr w:type="gramStart"/>
      <w:r w:rsidRPr="0017258D">
        <w:rPr>
          <w:sz w:val="28"/>
          <w:szCs w:val="28"/>
        </w:rPr>
        <w:t>софинансирования</w:t>
      </w:r>
      <w:proofErr w:type="spellEnd"/>
      <w:r w:rsidRPr="0017258D">
        <w:rPr>
          <w:sz w:val="28"/>
          <w:szCs w:val="28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</w:t>
      </w:r>
      <w:r w:rsidRPr="0017258D">
        <w:rPr>
          <w:sz w:val="28"/>
          <w:szCs w:val="28"/>
        </w:rPr>
        <w:lastRenderedPageBreak/>
        <w:t>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  <w:proofErr w:type="gramEnd"/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4. Установить следующие дополнительные основания </w:t>
      </w:r>
      <w:proofErr w:type="gramStart"/>
      <w:r w:rsidRPr="0017258D">
        <w:rPr>
          <w:sz w:val="28"/>
          <w:szCs w:val="28"/>
        </w:rPr>
        <w:t>для внесения изменений в сводную бюджетную роспись областного бюджета без внесения изменений в настоящий Закон по решению</w:t>
      </w:r>
      <w:proofErr w:type="gramEnd"/>
      <w:r w:rsidRPr="0017258D">
        <w:rPr>
          <w:sz w:val="28"/>
          <w:szCs w:val="28"/>
        </w:rPr>
        <w:t xml:space="preserve"> руководителя финансового органа: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7258D">
        <w:rPr>
          <w:sz w:val="28"/>
          <w:szCs w:val="28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  <w:proofErr w:type="gramEnd"/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7258D">
        <w:rPr>
          <w:sz w:val="28"/>
          <w:szCs w:val="28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  <w:proofErr w:type="gramEnd"/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195"/>
      <w:bookmarkEnd w:id="3"/>
      <w:r w:rsidRPr="0017258D">
        <w:rPr>
          <w:sz w:val="28"/>
          <w:szCs w:val="28"/>
        </w:rPr>
        <w:t>5)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196"/>
      <w:bookmarkEnd w:id="4"/>
      <w:proofErr w:type="gramStart"/>
      <w:r w:rsidRPr="0017258D">
        <w:rPr>
          <w:sz w:val="28"/>
          <w:szCs w:val="28"/>
        </w:rPr>
        <w:t xml:space="preserve">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</w:t>
      </w:r>
      <w:r w:rsidRPr="0017258D">
        <w:rPr>
          <w:sz w:val="28"/>
          <w:szCs w:val="28"/>
        </w:rPr>
        <w:lastRenderedPageBreak/>
        <w:t xml:space="preserve">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ar189" w:tooltip="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" w:history="1">
        <w:r w:rsidRPr="0017258D">
          <w:rPr>
            <w:sz w:val="28"/>
            <w:szCs w:val="28"/>
          </w:rPr>
          <w:t>пунктом 2 части</w:t>
        </w:r>
        <w:proofErr w:type="gramEnd"/>
        <w:r w:rsidRPr="0017258D">
          <w:rPr>
            <w:sz w:val="28"/>
            <w:szCs w:val="28"/>
          </w:rPr>
          <w:t xml:space="preserve"> 3</w:t>
        </w:r>
      </w:hyperlink>
      <w:r w:rsidRPr="0017258D">
        <w:rPr>
          <w:sz w:val="28"/>
          <w:szCs w:val="28"/>
        </w:rPr>
        <w:t xml:space="preserve"> настоящей статьи.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7258D">
        <w:rPr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ar195" w:tooltip="5) в случае увеличения бюджетных ассигнований за счет предоставляемых из федерального бюджета межбюджетных трансфертов, не имеющих целевого характера;" w:history="1">
        <w:r w:rsidRPr="0017258D">
          <w:rPr>
            <w:sz w:val="28"/>
            <w:szCs w:val="28"/>
          </w:rPr>
          <w:t>пунктами 5</w:t>
        </w:r>
      </w:hyperlink>
      <w:r w:rsidRPr="0017258D">
        <w:rPr>
          <w:sz w:val="28"/>
          <w:szCs w:val="28"/>
        </w:rPr>
        <w:t xml:space="preserve"> и </w:t>
      </w:r>
      <w:hyperlink w:anchor="Par196" w:tooltip="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" w:history="1">
        <w:r w:rsidRPr="0017258D">
          <w:rPr>
            <w:sz w:val="28"/>
            <w:szCs w:val="28"/>
          </w:rPr>
          <w:t>6</w:t>
        </w:r>
      </w:hyperlink>
      <w:r w:rsidRPr="0017258D">
        <w:rPr>
          <w:sz w:val="28"/>
          <w:szCs w:val="28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  <w:proofErr w:type="gramEnd"/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12.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1 января 2021 года в сумме 12903240623,62 руб., в том числе по государственным гарантиям в сумме 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1 января 2022 года в сумме 11905653629,24 руб., в том числе по государственным гарантиям в сумме 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1 января 2023 года в сумме 11242452229,56 руб., в том числе по государственным гарантиям в сумме 0,00 руб.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2. Утвердить объем расходов на обслуживание государственного долга Ивановской области: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на 2020 год в сумме 445462428,46 руб., в том числе 7828460,92 руб. на уплату процентов за рассрочку реструктуризированной задолженности по федеральным бюджетным кредитам, из них: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</w:t>
      </w:r>
      <w:proofErr w:type="gramStart"/>
      <w:r w:rsidRPr="0017258D">
        <w:rPr>
          <w:sz w:val="28"/>
          <w:szCs w:val="28"/>
        </w:rPr>
        <w:t>содержания</w:t>
      </w:r>
      <w:proofErr w:type="gramEnd"/>
      <w:r w:rsidRPr="0017258D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3" w:history="1">
        <w:r w:rsidRPr="0017258D">
          <w:rPr>
            <w:sz w:val="28"/>
            <w:szCs w:val="28"/>
          </w:rPr>
          <w:t>соглашением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2 к Соглашению от 23 апреля 2010 г.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17258D">
        <w:rPr>
          <w:sz w:val="28"/>
          <w:szCs w:val="28"/>
        </w:rPr>
        <w:t>содержания</w:t>
      </w:r>
      <w:proofErr w:type="gramEnd"/>
      <w:r w:rsidRPr="0017258D">
        <w:rPr>
          <w:sz w:val="28"/>
          <w:szCs w:val="28"/>
        </w:rPr>
        <w:t xml:space="preserve"> автомобильных дорог общего пользования (за </w:t>
      </w:r>
      <w:r w:rsidRPr="0017258D">
        <w:rPr>
          <w:sz w:val="28"/>
          <w:szCs w:val="28"/>
        </w:rPr>
        <w:lastRenderedPageBreak/>
        <w:t>исключением автомобильных дорог федерального значения) от 30 марта 2015 г.;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7679192,34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области, в том числе: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419375,74 руб. по дополнительному </w:t>
      </w:r>
      <w:hyperlink r:id="rId24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03.12.2015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4331643,20 руб. по дополнительному </w:t>
      </w:r>
      <w:hyperlink r:id="rId25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24.10.2016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213260,23 руб. по дополнительному </w:t>
      </w:r>
      <w:hyperlink r:id="rId26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31.05.2017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747798,47 руб. по дополнительному </w:t>
      </w:r>
      <w:hyperlink r:id="rId27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11.07.2017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1967114,70 руб. по дополнительному </w:t>
      </w:r>
      <w:hyperlink r:id="rId28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25.12.2017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в сумме 492289241,74 руб., в том числе 6893755,51 руб. на уплату процентов за рассрочку реструктуризированной задолженности по федеральным бюджетным кредитам, из них: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</w:t>
      </w:r>
      <w:proofErr w:type="gramStart"/>
      <w:r w:rsidRPr="0017258D">
        <w:rPr>
          <w:sz w:val="28"/>
          <w:szCs w:val="28"/>
        </w:rPr>
        <w:t>содержания</w:t>
      </w:r>
      <w:proofErr w:type="gramEnd"/>
      <w:r w:rsidRPr="0017258D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9" w:history="1">
        <w:r w:rsidRPr="0017258D">
          <w:rPr>
            <w:sz w:val="28"/>
            <w:szCs w:val="28"/>
          </w:rPr>
          <w:t>соглашением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2 к Соглашению от 23 апреля 2010 г.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17258D">
        <w:rPr>
          <w:sz w:val="28"/>
          <w:szCs w:val="28"/>
        </w:rPr>
        <w:t>содержания</w:t>
      </w:r>
      <w:proofErr w:type="gramEnd"/>
      <w:r w:rsidRPr="0017258D">
        <w:rPr>
          <w:sz w:val="28"/>
          <w:szCs w:val="28"/>
        </w:rPr>
        <w:t xml:space="preserve"> автомобильных дорог общего пользования (за </w:t>
      </w:r>
      <w:r w:rsidRPr="0017258D">
        <w:rPr>
          <w:sz w:val="28"/>
          <w:szCs w:val="28"/>
        </w:rPr>
        <w:lastRenderedPageBreak/>
        <w:t>исключением автомобильных дорог федерального значения) от 30 марта 2015 г.;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6744486,93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области, в том числе: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368329,65 руб. по дополнительному </w:t>
      </w:r>
      <w:hyperlink r:id="rId30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03.12.2015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3804398,90 руб. по дополнительному </w:t>
      </w:r>
      <w:hyperlink r:id="rId31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24.10.2016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187302,36 руб. по дополнительному </w:t>
      </w:r>
      <w:hyperlink r:id="rId32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31.05.2017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656777,01 руб. по дополнительному </w:t>
      </w:r>
      <w:hyperlink r:id="rId33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11.07.2017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1727679,01 руб. по дополнительному </w:t>
      </w:r>
      <w:hyperlink r:id="rId34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25.12.2017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в сумме 547619113,62 руб., в том числе 5171055,89 руб. на уплату процентов за рассрочку реструктуризированной задолженности по федеральным бюджетным кредитам, из них: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</w:t>
      </w:r>
      <w:proofErr w:type="gramStart"/>
      <w:r w:rsidRPr="0017258D">
        <w:rPr>
          <w:sz w:val="28"/>
          <w:szCs w:val="28"/>
        </w:rPr>
        <w:t>содержания</w:t>
      </w:r>
      <w:proofErr w:type="gramEnd"/>
      <w:r w:rsidRPr="0017258D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35" w:history="1">
        <w:r w:rsidRPr="0017258D">
          <w:rPr>
            <w:sz w:val="28"/>
            <w:szCs w:val="28"/>
          </w:rPr>
          <w:t>соглашением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2 к Соглашению от 23 апреля 2010 г.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Pr="0017258D">
        <w:rPr>
          <w:sz w:val="28"/>
          <w:szCs w:val="28"/>
        </w:rPr>
        <w:t>содержания</w:t>
      </w:r>
      <w:proofErr w:type="gramEnd"/>
      <w:r w:rsidRPr="0017258D">
        <w:rPr>
          <w:sz w:val="28"/>
          <w:szCs w:val="28"/>
        </w:rPr>
        <w:t xml:space="preserve"> автомобильных дорог общего пользования (за </w:t>
      </w:r>
      <w:r w:rsidRPr="0017258D">
        <w:rPr>
          <w:sz w:val="28"/>
          <w:szCs w:val="28"/>
        </w:rPr>
        <w:lastRenderedPageBreak/>
        <w:t>исключением автомобильных дорог федерального значения) от 30 марта 2015 г.;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5021787,31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области, в том числе: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274249,64 руб. по дополнительному </w:t>
      </w:r>
      <w:hyperlink r:id="rId36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03.12.2015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2832666,50 руб. по дополнительному </w:t>
      </w:r>
      <w:hyperlink r:id="rId37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24.10.2016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139460,95 руб. по дополнительному </w:t>
      </w:r>
      <w:hyperlink r:id="rId38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31.05.2017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489020,81 руб. по дополнительному </w:t>
      </w:r>
      <w:hyperlink r:id="rId39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11.07.2017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1286389,41 руб. по дополнительному </w:t>
      </w:r>
      <w:hyperlink r:id="rId40" w:history="1">
        <w:r w:rsidRPr="0017258D">
          <w:rPr>
            <w:sz w:val="28"/>
            <w:szCs w:val="28"/>
          </w:rPr>
          <w:t>соглашению</w:t>
        </w:r>
      </w:hyperlink>
      <w:r w:rsidRPr="0017258D">
        <w:rPr>
          <w:sz w:val="28"/>
          <w:szCs w:val="28"/>
        </w:rPr>
        <w:t xml:space="preserve">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1 к Соглашению от 25.12.2017 </w:t>
      </w:r>
      <w:r w:rsidR="0017258D">
        <w:rPr>
          <w:sz w:val="28"/>
          <w:szCs w:val="28"/>
        </w:rPr>
        <w:t>№</w:t>
      </w:r>
      <w:r w:rsidRPr="0017258D">
        <w:rPr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3. Утвердить </w:t>
      </w:r>
      <w:hyperlink r:id="rId41" w:history="1">
        <w:r w:rsidRPr="0017258D">
          <w:rPr>
            <w:sz w:val="28"/>
            <w:szCs w:val="28"/>
          </w:rPr>
          <w:t>программу</w:t>
        </w:r>
      </w:hyperlink>
      <w:r w:rsidRPr="0017258D">
        <w:rPr>
          <w:sz w:val="28"/>
          <w:szCs w:val="28"/>
        </w:rPr>
        <w:t xml:space="preserve"> государственных внутренних заимствований Ивановской области на 2020 год и на плановый период 2021 и 2022 годов согласно приложению 16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4. Утвердить </w:t>
      </w:r>
      <w:hyperlink r:id="rId42" w:history="1">
        <w:r w:rsidRPr="0017258D">
          <w:rPr>
            <w:sz w:val="28"/>
            <w:szCs w:val="28"/>
          </w:rPr>
          <w:t>программу</w:t>
        </w:r>
      </w:hyperlink>
      <w:r w:rsidRPr="0017258D">
        <w:rPr>
          <w:sz w:val="28"/>
          <w:szCs w:val="28"/>
        </w:rPr>
        <w:t xml:space="preserve"> государственных гарантий Ивановской области в валюте Российской Федерации на 2020 год и на плановый период 2021 и 2022 годов согласно приложению 17 к настоящему Закону.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Установить, что в 2020 году и плановом периоде 2021 и 2022 годов государственные гарантии Ивановской области не предоставляются.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lastRenderedPageBreak/>
        <w:t>1) на 2020 год - 0,00 рубля;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на 2021 год - 0,00 рубля;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3) на 2022 год - 0,00 рубля.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13. Предоставление бюджетных кредитов бюджетам муниципальных образований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1. Установить, что бюджетные кредиты бюджетам муниципальных образований предоставляются в 2020 году и плановом периоде 2021 и 2022 годов в целях: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частичного покрытия дефицитов бюджетов муниципальных образований;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3. Установить сроки предоставления бюджетных кредитов: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в целях частичного покрытия дефицитов бюджетов муниципальных образований на срок до трех лет;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4. Установить общий объем бюджетных ассигнований на предоставление бюджетных кредитов бюджетам муниципальных образований: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в целях частичного покрытия дефицитов бюджетов муниципальных образований в 2020 году в сумме 50000000,00 руб., в 2021 году в сумме 10000000,00 руб., в 2022 году сумме 50000000,00 руб.;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5. Установить плату за пользование бюджетными кредитами: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1) предоставленными в целях частичного покрытия дефицитов бюджетов муниципальных образований в размере 0,75 ключевой ставки, установленной </w:t>
      </w:r>
      <w:r w:rsidRPr="0017258D">
        <w:rPr>
          <w:sz w:val="28"/>
          <w:szCs w:val="28"/>
        </w:rPr>
        <w:lastRenderedPageBreak/>
        <w:t>Центральным банком Российской Федерации на день заключения договора о предоставлении бюджетного кредита;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6.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7. Порядки предоставления (использования, возврата) бюджетных кредитов устанавливаются Правительством Ивановской области.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13.1. Урегулирование денежных обязательств (задолженности по денежным обязательствам) перед Ивановской областью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1. </w:t>
      </w:r>
      <w:proofErr w:type="gramStart"/>
      <w:r w:rsidRPr="0017258D">
        <w:rPr>
          <w:sz w:val="28"/>
          <w:szCs w:val="28"/>
        </w:rPr>
        <w:t>Установить, что в 2020 году денежные обязательства (задолженность по денежным обязательствам) перед Ивановской областью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</w:t>
      </w:r>
      <w:proofErr w:type="gramEnd"/>
      <w:r w:rsidRPr="0017258D">
        <w:rPr>
          <w:sz w:val="28"/>
          <w:szCs w:val="28"/>
        </w:rPr>
        <w:t xml:space="preserve"> (далее - реструктуризация денежного обязательства (задолженности по денежному обязательству) перед Ивановской областью).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2. Основные условия урегулирования денежных обязательств (задолженности по денежным обязательствам) перед Ивановской областью: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1) реструктуризация денежного обязательства (задолженности по денежному обязательству) перед Ивановской областью осуществляется на срок не более одного года;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2) за реструктуризацию денежного обязательства (задолженности по денежному обязательству) перед Ивановской областью взимается плата.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3. Правила (основания, условия и порядок) реструктуризации в 2020 году денежных обязательств (задолженности по денежным обязательствам) перед Ивановской областью устанавливаются актом финансового органа, уполномоченного Правительством Ивановской области.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 xml:space="preserve">4. Реструктуризация денежного обязательства (задолженности по денежному обязательству) перед Ивановской областью в 2020 году осуществляется финансовым </w:t>
      </w:r>
      <w:r w:rsidRPr="0017258D">
        <w:rPr>
          <w:sz w:val="28"/>
          <w:szCs w:val="28"/>
        </w:rPr>
        <w:lastRenderedPageBreak/>
        <w:t>органом.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258D">
        <w:rPr>
          <w:rFonts w:ascii="Times New Roman" w:hAnsi="Times New Roman" w:cs="Times New Roman"/>
          <w:sz w:val="28"/>
          <w:szCs w:val="28"/>
        </w:rPr>
        <w:t>Статья 14. Вступление в силу настоящего Закона</w:t>
      </w:r>
    </w:p>
    <w:p w:rsidR="004D7343" w:rsidRPr="0017258D" w:rsidRDefault="004D7343">
      <w:pPr>
        <w:pStyle w:val="ConsPlusNormal"/>
        <w:ind w:firstLine="540"/>
        <w:jc w:val="both"/>
        <w:rPr>
          <w:sz w:val="28"/>
          <w:szCs w:val="28"/>
        </w:rPr>
      </w:pPr>
    </w:p>
    <w:p w:rsidR="004D7343" w:rsidRPr="0017258D" w:rsidRDefault="001B36E7">
      <w:pPr>
        <w:pStyle w:val="ConsPlusNormal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1. Настоящий Закон вступает в силу после его официального опубликования.</w:t>
      </w:r>
    </w:p>
    <w:p w:rsidR="004D7343" w:rsidRPr="0017258D" w:rsidRDefault="001B36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258D">
        <w:rPr>
          <w:sz w:val="28"/>
          <w:szCs w:val="28"/>
        </w:rPr>
        <w:t>2. В 2019 году настоящий Закон применяется исключительно в целях обеспечения исполнения областного бюджета в 2020 году.</w:t>
      </w:r>
    </w:p>
    <w:p w:rsidR="004D7343" w:rsidRPr="0017258D" w:rsidRDefault="004D7343">
      <w:pPr>
        <w:pStyle w:val="ConsPlusNormal"/>
        <w:rPr>
          <w:sz w:val="28"/>
          <w:szCs w:val="28"/>
        </w:rPr>
      </w:pPr>
    </w:p>
    <w:p w:rsidR="004D7343" w:rsidRPr="0017258D" w:rsidRDefault="001B36E7">
      <w:pPr>
        <w:pStyle w:val="ConsPlusNormal"/>
        <w:jc w:val="right"/>
        <w:rPr>
          <w:sz w:val="28"/>
          <w:szCs w:val="28"/>
        </w:rPr>
      </w:pPr>
      <w:r w:rsidRPr="0017258D">
        <w:rPr>
          <w:sz w:val="28"/>
          <w:szCs w:val="28"/>
        </w:rPr>
        <w:t>Губернатор Ивановской области</w:t>
      </w:r>
    </w:p>
    <w:p w:rsidR="004D7343" w:rsidRPr="0017258D" w:rsidRDefault="001B36E7">
      <w:pPr>
        <w:pStyle w:val="ConsPlusNormal"/>
        <w:jc w:val="right"/>
        <w:rPr>
          <w:sz w:val="28"/>
          <w:szCs w:val="28"/>
        </w:rPr>
      </w:pPr>
      <w:r w:rsidRPr="0017258D">
        <w:rPr>
          <w:sz w:val="28"/>
          <w:szCs w:val="28"/>
        </w:rPr>
        <w:t>С.С.ВОСКРЕСЕНСКИЙ</w:t>
      </w:r>
    </w:p>
    <w:p w:rsidR="004D7343" w:rsidRPr="0017258D" w:rsidRDefault="001B36E7">
      <w:pPr>
        <w:pStyle w:val="ConsPlusNormal"/>
        <w:rPr>
          <w:sz w:val="28"/>
          <w:szCs w:val="28"/>
        </w:rPr>
      </w:pPr>
      <w:r w:rsidRPr="0017258D">
        <w:rPr>
          <w:sz w:val="28"/>
          <w:szCs w:val="28"/>
        </w:rPr>
        <w:t>г. Иваново</w:t>
      </w:r>
    </w:p>
    <w:p w:rsidR="004D7343" w:rsidRPr="0017258D" w:rsidRDefault="001B36E7">
      <w:pPr>
        <w:pStyle w:val="ConsPlusNormal"/>
        <w:spacing w:before="240"/>
        <w:rPr>
          <w:sz w:val="28"/>
          <w:szCs w:val="28"/>
        </w:rPr>
      </w:pPr>
      <w:r w:rsidRPr="0017258D">
        <w:rPr>
          <w:sz w:val="28"/>
          <w:szCs w:val="28"/>
        </w:rPr>
        <w:t>16 декабря 2019 года</w:t>
      </w:r>
    </w:p>
    <w:p w:rsidR="004D7343" w:rsidRPr="0017258D" w:rsidRDefault="0017258D">
      <w:pPr>
        <w:pStyle w:val="ConsPlusNormal"/>
        <w:spacing w:before="240"/>
        <w:rPr>
          <w:sz w:val="28"/>
          <w:szCs w:val="28"/>
        </w:rPr>
      </w:pPr>
      <w:r>
        <w:rPr>
          <w:sz w:val="28"/>
          <w:szCs w:val="28"/>
        </w:rPr>
        <w:t>№</w:t>
      </w:r>
      <w:r w:rsidR="001B36E7" w:rsidRPr="0017258D">
        <w:rPr>
          <w:sz w:val="28"/>
          <w:szCs w:val="28"/>
        </w:rPr>
        <w:t xml:space="preserve"> 75-ОЗ</w:t>
      </w:r>
    </w:p>
    <w:p w:rsidR="001B36E7" w:rsidRPr="0017258D" w:rsidRDefault="001B36E7">
      <w:pPr>
        <w:pStyle w:val="ConsPlusNormal"/>
        <w:rPr>
          <w:sz w:val="28"/>
          <w:szCs w:val="28"/>
        </w:rPr>
      </w:pPr>
    </w:p>
    <w:sectPr w:rsidR="001B36E7" w:rsidRPr="0017258D" w:rsidSect="004D73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58D"/>
    <w:rsid w:val="0017258D"/>
    <w:rsid w:val="001B36E7"/>
    <w:rsid w:val="004D7343"/>
    <w:rsid w:val="0071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4D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7838&amp;date=26.04.2020&amp;dst=100348&amp;fld=134" TargetMode="External"/><Relationship Id="rId13" Type="http://schemas.openxmlformats.org/officeDocument/2006/relationships/hyperlink" Target="https://login.consultant.ru/link/?req=doc&amp;base=RLAW224&amp;n=147838&amp;date=26.04.2020&amp;dst=104995&amp;fld=134" TargetMode="External"/><Relationship Id="rId18" Type="http://schemas.openxmlformats.org/officeDocument/2006/relationships/hyperlink" Target="https://login.consultant.ru/link/?req=doc&amp;base=RLAW224&amp;n=147838&amp;date=26.04.2020&amp;dst=123167&amp;fld=134" TargetMode="External"/><Relationship Id="rId26" Type="http://schemas.openxmlformats.org/officeDocument/2006/relationships/hyperlink" Target="https://login.consultant.ru/link/?req=doc&amp;base=RLAW224&amp;n=143311&amp;date=26.04.2020&amp;dst=100254&amp;fld=134" TargetMode="External"/><Relationship Id="rId39" Type="http://schemas.openxmlformats.org/officeDocument/2006/relationships/hyperlink" Target="https://login.consultant.ru/link/?req=doc&amp;base=RLAW224&amp;n=143311&amp;date=26.04.2020&amp;dst=100371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47838&amp;date=26.04.2020&amp;dst=124918&amp;fld=134" TargetMode="External"/><Relationship Id="rId34" Type="http://schemas.openxmlformats.org/officeDocument/2006/relationships/hyperlink" Target="https://login.consultant.ru/link/?req=doc&amp;base=RLAW224&amp;n=143311&amp;date=26.04.2020&amp;dst=100488&amp;fld=134" TargetMode="External"/><Relationship Id="rId42" Type="http://schemas.openxmlformats.org/officeDocument/2006/relationships/hyperlink" Target="https://login.consultant.ru/link/?req=doc&amp;base=RLAW224&amp;n=147838&amp;date=26.04.2020&amp;dst=128771&amp;fld=134" TargetMode="External"/><Relationship Id="rId7" Type="http://schemas.openxmlformats.org/officeDocument/2006/relationships/hyperlink" Target="https://login.consultant.ru/link/?req=doc&amp;base=RLAW224&amp;n=147838&amp;date=26.04.2020&amp;dst=100229&amp;fld=134" TargetMode="External"/><Relationship Id="rId12" Type="http://schemas.openxmlformats.org/officeDocument/2006/relationships/hyperlink" Target="https://login.consultant.ru/link/?req=doc&amp;base=RLAW224&amp;n=147838&amp;date=26.04.2020&amp;dst=104812&amp;fld=134" TargetMode="External"/><Relationship Id="rId17" Type="http://schemas.openxmlformats.org/officeDocument/2006/relationships/hyperlink" Target="https://login.consultant.ru/link/?req=doc&amp;base=RLAW224&amp;n=147838&amp;date=26.04.2020&amp;dst=117913&amp;fld=134" TargetMode="External"/><Relationship Id="rId25" Type="http://schemas.openxmlformats.org/officeDocument/2006/relationships/hyperlink" Target="https://login.consultant.ru/link/?req=doc&amp;base=RLAW224&amp;n=143311&amp;date=26.04.2020&amp;dst=100136&amp;fld=134" TargetMode="External"/><Relationship Id="rId33" Type="http://schemas.openxmlformats.org/officeDocument/2006/relationships/hyperlink" Target="https://login.consultant.ru/link/?req=doc&amp;base=RLAW224&amp;n=143311&amp;date=26.04.2020&amp;dst=100371&amp;fld=134" TargetMode="External"/><Relationship Id="rId38" Type="http://schemas.openxmlformats.org/officeDocument/2006/relationships/hyperlink" Target="https://login.consultant.ru/link/?req=doc&amp;base=RLAW224&amp;n=143311&amp;date=26.04.2020&amp;dst=100254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7838&amp;date=26.04.2020&amp;dst=112380&amp;fld=134" TargetMode="External"/><Relationship Id="rId20" Type="http://schemas.openxmlformats.org/officeDocument/2006/relationships/hyperlink" Target="https://login.consultant.ru/link/?req=doc&amp;base=RLAW224&amp;n=147838&amp;date=26.04.2020&amp;dst=124481&amp;fld=134" TargetMode="External"/><Relationship Id="rId29" Type="http://schemas.openxmlformats.org/officeDocument/2006/relationships/hyperlink" Target="https://login.consultant.ru/link/?req=doc&amp;base=RLAW224&amp;n=133939&amp;date=26.04.2020&amp;dst=100014&amp;fld=134" TargetMode="External"/><Relationship Id="rId41" Type="http://schemas.openxmlformats.org/officeDocument/2006/relationships/hyperlink" Target="https://login.consultant.ru/link/?req=doc&amp;base=RLAW224&amp;n=147838&amp;date=26.04.2020&amp;dst=128707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07539&amp;date=26.04.2020&amp;dst=100323&amp;fld=134" TargetMode="External"/><Relationship Id="rId11" Type="http://schemas.openxmlformats.org/officeDocument/2006/relationships/hyperlink" Target="https://login.consultant.ru/link/?req=doc&amp;base=RLAW224&amp;n=147838&amp;date=26.04.2020&amp;dst=104716&amp;fld=134" TargetMode="External"/><Relationship Id="rId24" Type="http://schemas.openxmlformats.org/officeDocument/2006/relationships/hyperlink" Target="https://login.consultant.ru/link/?req=doc&amp;base=RLAW224&amp;n=143311&amp;date=26.04.2020&amp;dst=100019&amp;fld=134" TargetMode="External"/><Relationship Id="rId32" Type="http://schemas.openxmlformats.org/officeDocument/2006/relationships/hyperlink" Target="https://login.consultant.ru/link/?req=doc&amp;base=RLAW224&amp;n=143311&amp;date=26.04.2020&amp;dst=100254&amp;fld=134" TargetMode="External"/><Relationship Id="rId37" Type="http://schemas.openxmlformats.org/officeDocument/2006/relationships/hyperlink" Target="https://login.consultant.ru/link/?req=doc&amp;base=RLAW224&amp;n=143311&amp;date=26.04.2020&amp;dst=100136&amp;fld=134" TargetMode="External"/><Relationship Id="rId40" Type="http://schemas.openxmlformats.org/officeDocument/2006/relationships/hyperlink" Target="https://login.consultant.ru/link/?req=doc&amp;base=RLAW224&amp;n=143311&amp;date=26.04.2020&amp;dst=100488&amp;fld=134" TargetMode="External"/><Relationship Id="rId5" Type="http://schemas.openxmlformats.org/officeDocument/2006/relationships/hyperlink" Target="https://login.consultant.ru/link/?req=doc&amp;base=LAW&amp;n=346604&amp;date=26.04.2020&amp;dst=100487&amp;fld=134" TargetMode="External"/><Relationship Id="rId15" Type="http://schemas.openxmlformats.org/officeDocument/2006/relationships/hyperlink" Target="https://login.consultant.ru/link/?req=doc&amp;base=RLAW224&amp;n=147838&amp;date=26.04.2020&amp;dst=108560&amp;fld=134" TargetMode="External"/><Relationship Id="rId23" Type="http://schemas.openxmlformats.org/officeDocument/2006/relationships/hyperlink" Target="https://login.consultant.ru/link/?req=doc&amp;base=RLAW224&amp;n=133939&amp;date=26.04.2020&amp;dst=100014&amp;fld=134" TargetMode="External"/><Relationship Id="rId28" Type="http://schemas.openxmlformats.org/officeDocument/2006/relationships/hyperlink" Target="https://login.consultant.ru/link/?req=doc&amp;base=RLAW224&amp;n=143311&amp;date=26.04.2020&amp;dst=100488&amp;fld=134" TargetMode="External"/><Relationship Id="rId36" Type="http://schemas.openxmlformats.org/officeDocument/2006/relationships/hyperlink" Target="https://login.consultant.ru/link/?req=doc&amp;base=RLAW224&amp;n=143311&amp;date=26.04.2020&amp;dst=100019&amp;fld=134" TargetMode="External"/><Relationship Id="rId10" Type="http://schemas.openxmlformats.org/officeDocument/2006/relationships/hyperlink" Target="https://login.consultant.ru/link/?req=doc&amp;base=RLAW224&amp;n=147838&amp;date=26.04.2020&amp;dst=103594&amp;fld=134" TargetMode="External"/><Relationship Id="rId19" Type="http://schemas.openxmlformats.org/officeDocument/2006/relationships/hyperlink" Target="https://login.consultant.ru/link/?req=doc&amp;base=RLAW224&amp;n=147838&amp;date=26.04.2020&amp;dst=123524&amp;fld=134" TargetMode="External"/><Relationship Id="rId31" Type="http://schemas.openxmlformats.org/officeDocument/2006/relationships/hyperlink" Target="https://login.consultant.ru/link/?req=doc&amp;base=RLAW224&amp;n=143311&amp;date=26.04.2020&amp;dst=100136&amp;fld=134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49722&amp;date=26.04.2020&amp;dst=928&amp;fld=134" TargetMode="External"/><Relationship Id="rId9" Type="http://schemas.openxmlformats.org/officeDocument/2006/relationships/hyperlink" Target="https://login.consultant.ru/link/?req=doc&amp;base=RLAW224&amp;n=147838&amp;date=26.04.2020&amp;dst=100457&amp;fld=134" TargetMode="External"/><Relationship Id="rId14" Type="http://schemas.openxmlformats.org/officeDocument/2006/relationships/hyperlink" Target="https://login.consultant.ru/link/?req=doc&amp;base=RLAW224&amp;n=147838&amp;date=26.04.2020&amp;dst=105044&amp;fld=134" TargetMode="External"/><Relationship Id="rId22" Type="http://schemas.openxmlformats.org/officeDocument/2006/relationships/hyperlink" Target="https://login.consultant.ru/link/?req=doc&amp;base=RLAW224&amp;n=147838&amp;date=26.04.2020&amp;dst=124918&amp;fld=134" TargetMode="External"/><Relationship Id="rId27" Type="http://schemas.openxmlformats.org/officeDocument/2006/relationships/hyperlink" Target="https://login.consultant.ru/link/?req=doc&amp;base=RLAW224&amp;n=143311&amp;date=26.04.2020&amp;dst=100371&amp;fld=134" TargetMode="External"/><Relationship Id="rId30" Type="http://schemas.openxmlformats.org/officeDocument/2006/relationships/hyperlink" Target="https://login.consultant.ru/link/?req=doc&amp;base=RLAW224&amp;n=143311&amp;date=26.04.2020&amp;dst=100019&amp;fld=134" TargetMode="External"/><Relationship Id="rId35" Type="http://schemas.openxmlformats.org/officeDocument/2006/relationships/hyperlink" Target="https://login.consultant.ru/link/?req=doc&amp;base=RLAW224&amp;n=133939&amp;date=26.04.2020&amp;dst=100014&amp;fld=13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6255</Words>
  <Characters>35657</Characters>
  <Application>Microsoft Office Word</Application>
  <DocSecurity>2</DocSecurity>
  <Lines>297</Lines>
  <Paragraphs>83</Paragraphs>
  <ScaleCrop>false</ScaleCrop>
  <Company>КонсультантПлюс Версия 4018.00.50</Company>
  <LinksUpToDate>false</LinksUpToDate>
  <CharactersWithSpaces>41829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15.04.2020)"Об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2020-04-26T12:36:00Z</dcterms:created>
  <dcterms:modified xsi:type="dcterms:W3CDTF">2020-04-26T12:36:00Z</dcterms:modified>
</cp:coreProperties>
</file>